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815AB" w:rsidRPr="00C815AB" w:rsidRDefault="00C815AB" w:rsidP="00C815AB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C815AB">
        <w:rPr>
          <w:b/>
          <w:bCs/>
          <w:sz w:val="28"/>
          <w:szCs w:val="28"/>
        </w:rPr>
        <w:t>К брифингу на тему «Итоги летней оздоровительной кампании 201</w:t>
      </w:r>
      <w:bookmarkStart w:id="0" w:name="_GoBack"/>
      <w:bookmarkEnd w:id="0"/>
      <w:r w:rsidRPr="00C815AB">
        <w:rPr>
          <w:b/>
          <w:bCs/>
          <w:sz w:val="28"/>
          <w:szCs w:val="28"/>
        </w:rPr>
        <w:t>7»</w:t>
      </w:r>
    </w:p>
    <w:p w:rsidR="00C815AB" w:rsidRPr="00C815AB" w:rsidRDefault="00C815AB" w:rsidP="00C815AB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D60D8" w:rsidRDefault="001D60D8" w:rsidP="001D60D8">
      <w:pPr>
        <w:spacing w:line="312" w:lineRule="auto"/>
        <w:ind w:firstLine="709"/>
        <w:jc w:val="both"/>
        <w:rPr>
          <w:sz w:val="28"/>
          <w:szCs w:val="28"/>
        </w:rPr>
      </w:pPr>
      <w:r w:rsidRPr="001D60D8">
        <w:rPr>
          <w:sz w:val="28"/>
          <w:szCs w:val="28"/>
        </w:rPr>
        <w:t>Благодаря слаженной работе министерств и ведомств, поддержке Правительства и лично Президента Республики Татарстан в период летней оздоровительной кампании 2017 года была организована работа 1905 лагерей всех форм отдыха (план 1895 лагерей). Из которых:</w:t>
      </w:r>
    </w:p>
    <w:p w:rsidR="00C815AB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133 стационарных лагерей с охватом 76 942чел.;</w:t>
      </w:r>
    </w:p>
    <w:p w:rsidR="00C815AB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14 санаторно-курортных организаций с охватом 3 793 чел.;</w:t>
      </w:r>
    </w:p>
    <w:p w:rsidR="00C815AB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98 лагерей палаточного типа с охватом 13 299 чел.;</w:t>
      </w:r>
    </w:p>
    <w:p w:rsidR="00C815AB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966 пришкольных лагерей с дневным пребыванием с охватом 57 075 чел.;</w:t>
      </w:r>
    </w:p>
    <w:p w:rsidR="00C815AB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689 лагерей труда и отдыха с охватом 12 000 чел.;</w:t>
      </w:r>
    </w:p>
    <w:p w:rsidR="00C815AB" w:rsidRPr="00822697" w:rsidRDefault="00C815AB" w:rsidP="00822697">
      <w:pPr>
        <w:pStyle w:val="af2"/>
        <w:numPr>
          <w:ilvl w:val="0"/>
          <w:numId w:val="11"/>
        </w:numPr>
        <w:spacing w:line="312" w:lineRule="auto"/>
        <w:jc w:val="both"/>
        <w:rPr>
          <w:i/>
          <w:sz w:val="28"/>
          <w:szCs w:val="28"/>
        </w:rPr>
      </w:pPr>
      <w:r w:rsidRPr="00822697">
        <w:rPr>
          <w:i/>
          <w:sz w:val="28"/>
          <w:szCs w:val="28"/>
        </w:rPr>
        <w:t>5 лагерей на Черноморском побережье с охватом 5 699 чел.;</w:t>
      </w:r>
    </w:p>
    <w:p w:rsidR="00E20B92" w:rsidRDefault="00C815AB" w:rsidP="00C815AB">
      <w:pPr>
        <w:spacing w:line="312" w:lineRule="auto"/>
        <w:ind w:firstLine="709"/>
        <w:jc w:val="both"/>
        <w:rPr>
          <w:sz w:val="28"/>
          <w:szCs w:val="28"/>
        </w:rPr>
      </w:pPr>
      <w:r w:rsidRPr="00C815AB">
        <w:rPr>
          <w:sz w:val="28"/>
          <w:szCs w:val="28"/>
        </w:rPr>
        <w:t xml:space="preserve">Все организации отдыха открывались с разрешения территориальных надзорных органов, при наличии все необходимых разрешающих открытие документов. </w:t>
      </w:r>
      <w:r w:rsidR="00E20B92" w:rsidRPr="00E20B92">
        <w:rPr>
          <w:sz w:val="28"/>
          <w:szCs w:val="28"/>
        </w:rPr>
        <w:t>Реестр действующих лагерей Республики Татарстан со всеми контактными данными представлен на официальном сайте уполномоченного Республиканского центра «Лето» Министерства по делам молодежи и спорту РТ http://rcleto.ru.</w:t>
      </w:r>
    </w:p>
    <w:p w:rsidR="00E20B92" w:rsidRDefault="00E20B92" w:rsidP="00C815AB">
      <w:pPr>
        <w:spacing w:line="312" w:lineRule="auto"/>
        <w:ind w:firstLine="709"/>
        <w:jc w:val="both"/>
        <w:rPr>
          <w:sz w:val="28"/>
          <w:szCs w:val="28"/>
        </w:rPr>
      </w:pPr>
      <w:r w:rsidRPr="00E20B92">
        <w:rPr>
          <w:sz w:val="28"/>
          <w:szCs w:val="28"/>
        </w:rPr>
        <w:t>За лето организован отдых более 168 тысяч детей и молодежи, это на 3% перевыполнение летнего плана (164 098 человек) и на 77% выполнение годового объема (218509 человек).</w:t>
      </w:r>
    </w:p>
    <w:p w:rsidR="00C815AB" w:rsidRPr="00C815AB" w:rsidRDefault="00C815AB" w:rsidP="00C815AB">
      <w:pPr>
        <w:spacing w:line="312" w:lineRule="auto"/>
        <w:ind w:firstLine="709"/>
        <w:jc w:val="both"/>
        <w:rPr>
          <w:sz w:val="28"/>
          <w:szCs w:val="28"/>
        </w:rPr>
      </w:pPr>
      <w:r w:rsidRPr="00C815AB">
        <w:rPr>
          <w:sz w:val="28"/>
          <w:szCs w:val="28"/>
        </w:rPr>
        <w:t xml:space="preserve">На сегодняшний день в 173 профильных сменах по основным направлениям государственной молодёжной политики отдохнули 53175 человек. Это такие смены как: смена начинающих журналистов «Алтын </w:t>
      </w:r>
      <w:proofErr w:type="spellStart"/>
      <w:r w:rsidRPr="00C815AB">
        <w:rPr>
          <w:sz w:val="28"/>
          <w:szCs w:val="28"/>
        </w:rPr>
        <w:t>Калям</w:t>
      </w:r>
      <w:proofErr w:type="spellEnd"/>
      <w:r w:rsidRPr="00C815AB">
        <w:rPr>
          <w:sz w:val="28"/>
          <w:szCs w:val="28"/>
        </w:rPr>
        <w:t xml:space="preserve"> – Золотое перо», творческая смена «Созвездие Йолдызлык», «Этнический фестиваль «</w:t>
      </w:r>
      <w:proofErr w:type="spellStart"/>
      <w:r w:rsidRPr="00C815AB">
        <w:rPr>
          <w:sz w:val="28"/>
          <w:szCs w:val="28"/>
        </w:rPr>
        <w:t>Крутушка</w:t>
      </w:r>
      <w:proofErr w:type="spellEnd"/>
      <w:r w:rsidRPr="00C815AB">
        <w:rPr>
          <w:sz w:val="28"/>
          <w:szCs w:val="28"/>
        </w:rPr>
        <w:t>», смены «</w:t>
      </w:r>
      <w:proofErr w:type="spellStart"/>
      <w:r w:rsidRPr="00C815AB">
        <w:rPr>
          <w:sz w:val="28"/>
          <w:szCs w:val="28"/>
        </w:rPr>
        <w:t>Сэлэт</w:t>
      </w:r>
      <w:proofErr w:type="spellEnd"/>
      <w:r w:rsidRPr="00C815AB">
        <w:rPr>
          <w:sz w:val="28"/>
          <w:szCs w:val="28"/>
        </w:rPr>
        <w:t xml:space="preserve">», социально-педагогические смены «Территория «МЫ», смены по развитию талантов в </w:t>
      </w:r>
      <w:r w:rsidRPr="00C815AB">
        <w:rPr>
          <w:sz w:val="28"/>
          <w:szCs w:val="28"/>
        </w:rPr>
        <w:lastRenderedPageBreak/>
        <w:t>области науки и техники «IT-</w:t>
      </w:r>
      <w:proofErr w:type="spellStart"/>
      <w:r w:rsidRPr="00C815AB">
        <w:rPr>
          <w:sz w:val="28"/>
          <w:szCs w:val="28"/>
        </w:rPr>
        <w:t>Jump</w:t>
      </w:r>
      <w:proofErr w:type="spellEnd"/>
      <w:r w:rsidRPr="00C815AB">
        <w:rPr>
          <w:sz w:val="28"/>
          <w:szCs w:val="28"/>
        </w:rPr>
        <w:t>», «Город безопасности» и другие. В том числе на Черноморском побережье Краснодарского края и Республики Крым реализованы 17 профильных программ, таких, как: «Английская деревня», «Поколение NEXT», «МИРАС», «Созвездие-Йолдызлык», «Гармония» и другие.</w:t>
      </w:r>
    </w:p>
    <w:p w:rsidR="00536E96" w:rsidRDefault="00D026BF" w:rsidP="001C6D8C">
      <w:pPr>
        <w:spacing w:line="312" w:lineRule="auto"/>
        <w:ind w:firstLine="709"/>
        <w:jc w:val="both"/>
        <w:rPr>
          <w:sz w:val="28"/>
          <w:szCs w:val="28"/>
        </w:rPr>
      </w:pPr>
      <w:r w:rsidRPr="00D026BF">
        <w:rPr>
          <w:sz w:val="28"/>
          <w:szCs w:val="28"/>
        </w:rPr>
        <w:t xml:space="preserve">На Черноморском побережье организован отдых 5699 человек (годовой план – 5 939 чел.) в 5 лагерях, в том числе 3 лагеря в Краснодарском крае с охватом 3520 чел., это 2 лагеря в </w:t>
      </w:r>
      <w:proofErr w:type="spellStart"/>
      <w:r w:rsidRPr="00D026BF">
        <w:rPr>
          <w:sz w:val="28"/>
          <w:szCs w:val="28"/>
        </w:rPr>
        <w:t>г.Анапа</w:t>
      </w:r>
      <w:proofErr w:type="spellEnd"/>
      <w:r w:rsidRPr="00D026BF">
        <w:rPr>
          <w:sz w:val="28"/>
          <w:szCs w:val="28"/>
        </w:rPr>
        <w:t xml:space="preserve"> - ДОЛ «</w:t>
      </w:r>
      <w:proofErr w:type="spellStart"/>
      <w:r w:rsidRPr="00D026BF">
        <w:rPr>
          <w:sz w:val="28"/>
          <w:szCs w:val="28"/>
        </w:rPr>
        <w:t>Приазовец</w:t>
      </w:r>
      <w:proofErr w:type="spellEnd"/>
      <w:r w:rsidRPr="00D026BF">
        <w:rPr>
          <w:sz w:val="28"/>
          <w:szCs w:val="28"/>
        </w:rPr>
        <w:t xml:space="preserve">» и «Витязево» и 1 лагерь в </w:t>
      </w:r>
      <w:proofErr w:type="spellStart"/>
      <w:r w:rsidRPr="00D026BF">
        <w:rPr>
          <w:sz w:val="28"/>
          <w:szCs w:val="28"/>
        </w:rPr>
        <w:t>г.Туапсе</w:t>
      </w:r>
      <w:proofErr w:type="spellEnd"/>
      <w:r w:rsidRPr="00D026BF">
        <w:rPr>
          <w:sz w:val="28"/>
          <w:szCs w:val="28"/>
        </w:rPr>
        <w:t xml:space="preserve"> ДОЛ «Юбилейный», а также 2 лагеря на территории Республики Крым с охватом 2179 чел. в </w:t>
      </w:r>
      <w:proofErr w:type="spellStart"/>
      <w:r w:rsidRPr="00D026BF">
        <w:rPr>
          <w:sz w:val="28"/>
          <w:szCs w:val="28"/>
        </w:rPr>
        <w:t>г.Севастополь</w:t>
      </w:r>
      <w:proofErr w:type="spellEnd"/>
      <w:r w:rsidRPr="00D026BF">
        <w:rPr>
          <w:sz w:val="28"/>
          <w:szCs w:val="28"/>
        </w:rPr>
        <w:t xml:space="preserve"> ДОЛ «Радость» и Бахчисарайский район ДОЛ «имени </w:t>
      </w:r>
      <w:proofErr w:type="spellStart"/>
      <w:r w:rsidRPr="00D026BF">
        <w:rPr>
          <w:sz w:val="28"/>
          <w:szCs w:val="28"/>
        </w:rPr>
        <w:t>А.В.Казакевича</w:t>
      </w:r>
      <w:proofErr w:type="spellEnd"/>
      <w:r w:rsidRPr="00D026BF">
        <w:rPr>
          <w:sz w:val="28"/>
          <w:szCs w:val="28"/>
        </w:rPr>
        <w:t>».</w:t>
      </w:r>
    </w:p>
    <w:p w:rsidR="00E20B92" w:rsidRDefault="00DD7191" w:rsidP="00FD054F">
      <w:pPr>
        <w:spacing w:line="312" w:lineRule="auto"/>
        <w:ind w:firstLine="709"/>
        <w:jc w:val="both"/>
        <w:rPr>
          <w:sz w:val="28"/>
          <w:szCs w:val="28"/>
        </w:rPr>
      </w:pPr>
      <w:r w:rsidRPr="00DD7191">
        <w:rPr>
          <w:sz w:val="28"/>
          <w:szCs w:val="28"/>
        </w:rPr>
        <w:t xml:space="preserve">По поручению Президента </w:t>
      </w:r>
      <w:proofErr w:type="spellStart"/>
      <w:r w:rsidRPr="00DD7191">
        <w:rPr>
          <w:sz w:val="28"/>
          <w:szCs w:val="28"/>
        </w:rPr>
        <w:t>Р.М.Минниханова</w:t>
      </w:r>
      <w:proofErr w:type="spellEnd"/>
      <w:r w:rsidRPr="00DD7191">
        <w:rPr>
          <w:sz w:val="28"/>
          <w:szCs w:val="28"/>
        </w:rPr>
        <w:t xml:space="preserve"> в Республике Крым в ДОЛ «им. Казакевича», расположенного в Бахчисарайском районе, дополнительно к Подпрограмме отдыха второй год организована специализированная смена для детей из многодетных семей в количестве 134 человек</w:t>
      </w:r>
      <w:r w:rsidR="006158F9">
        <w:rPr>
          <w:sz w:val="28"/>
          <w:szCs w:val="28"/>
        </w:rPr>
        <w:t xml:space="preserve">. Также </w:t>
      </w:r>
      <w:r w:rsidR="006158F9" w:rsidRPr="006158F9">
        <w:rPr>
          <w:sz w:val="28"/>
          <w:szCs w:val="28"/>
        </w:rPr>
        <w:t>бл</w:t>
      </w:r>
      <w:r w:rsidR="006158F9">
        <w:rPr>
          <w:sz w:val="28"/>
          <w:szCs w:val="28"/>
        </w:rPr>
        <w:t xml:space="preserve">агодаря поддержке Правительства, </w:t>
      </w:r>
      <w:r w:rsidR="006158F9" w:rsidRPr="006158F9">
        <w:rPr>
          <w:sz w:val="28"/>
          <w:szCs w:val="28"/>
        </w:rPr>
        <w:t>слаженной работе ответственных республиканских центров «Черноморец» и «Лето» на безвозмездной основе была проведена смена для 193 детей, находящихся в трудной жизненной ситуации, которая в предыдущие годы организовывалась за сч</w:t>
      </w:r>
      <w:r w:rsidR="006158F9">
        <w:rPr>
          <w:sz w:val="28"/>
          <w:szCs w:val="28"/>
        </w:rPr>
        <w:t xml:space="preserve">ет средств Федерального бюджета. </w:t>
      </w:r>
      <w:r w:rsidR="006158F9" w:rsidRPr="006158F9">
        <w:rPr>
          <w:sz w:val="28"/>
          <w:szCs w:val="28"/>
        </w:rPr>
        <w:t xml:space="preserve">Дети отдохнули в ДОЛ «Витязево» </w:t>
      </w:r>
      <w:proofErr w:type="spellStart"/>
      <w:r w:rsidR="006158F9" w:rsidRPr="006158F9">
        <w:rPr>
          <w:sz w:val="28"/>
          <w:szCs w:val="28"/>
        </w:rPr>
        <w:t>г.Анапа</w:t>
      </w:r>
      <w:proofErr w:type="spellEnd"/>
      <w:r w:rsidR="006158F9" w:rsidRPr="006158F9">
        <w:rPr>
          <w:sz w:val="28"/>
          <w:szCs w:val="28"/>
        </w:rPr>
        <w:t xml:space="preserve"> и в ДОЛ «Радость» Республики Крым.</w:t>
      </w:r>
      <w:r w:rsidR="006158F9">
        <w:rPr>
          <w:sz w:val="28"/>
          <w:szCs w:val="28"/>
        </w:rPr>
        <w:t xml:space="preserve"> </w:t>
      </w:r>
      <w:r w:rsidR="006158F9" w:rsidRPr="006158F9">
        <w:rPr>
          <w:sz w:val="28"/>
          <w:szCs w:val="28"/>
        </w:rPr>
        <w:t>На дополнительно выделенные из бюджета республики средства организован отдых 100 человек из Луганской и Донецкой Народных Республик. В июле ребята отдохнули в ДОЛ «Заречье» г. Казани, где была организована обширная развлекательная программа, включающая в себя обзорные экскурсии по г.Казани и выезды с посещением исторических памятников культуры республики.</w:t>
      </w:r>
    </w:p>
    <w:p w:rsidR="00FD054F" w:rsidRPr="00FD054F" w:rsidRDefault="00FD054F" w:rsidP="00FD054F">
      <w:pPr>
        <w:spacing w:line="312" w:lineRule="auto"/>
        <w:ind w:firstLine="709"/>
        <w:jc w:val="both"/>
        <w:rPr>
          <w:sz w:val="28"/>
          <w:szCs w:val="28"/>
        </w:rPr>
      </w:pPr>
      <w:r w:rsidRPr="00FD054F">
        <w:rPr>
          <w:sz w:val="28"/>
          <w:szCs w:val="28"/>
        </w:rPr>
        <w:t>Оценка эффективности пребывания детей в летних оздоровительных учреждениях показала, что выраженный оздоровительным эффектом составил 94,6% детей, слабый выявлен у 5,1%, отсутствует у 0,3% отдохнувших.</w:t>
      </w:r>
    </w:p>
    <w:p w:rsidR="00FD054F" w:rsidRDefault="00FD054F" w:rsidP="00FD054F">
      <w:pPr>
        <w:spacing w:line="312" w:lineRule="auto"/>
        <w:ind w:firstLine="709"/>
        <w:jc w:val="both"/>
        <w:rPr>
          <w:sz w:val="28"/>
          <w:szCs w:val="28"/>
        </w:rPr>
      </w:pPr>
      <w:r w:rsidRPr="00FD054F">
        <w:rPr>
          <w:sz w:val="28"/>
          <w:szCs w:val="28"/>
        </w:rPr>
        <w:t>Массовых инфекционных заболеваний, пищевых отравлений, смертельных случаев в летних оздоровительных лагерях в сезон 2017 года не допущено.</w:t>
      </w:r>
    </w:p>
    <w:p w:rsidR="00E20B92" w:rsidRDefault="00E20B92" w:rsidP="001C6D8C">
      <w:pPr>
        <w:spacing w:line="312" w:lineRule="auto"/>
        <w:ind w:firstLine="709"/>
        <w:jc w:val="both"/>
        <w:rPr>
          <w:sz w:val="28"/>
          <w:szCs w:val="28"/>
        </w:rPr>
      </w:pPr>
      <w:r w:rsidRPr="00E20B92">
        <w:rPr>
          <w:sz w:val="28"/>
          <w:szCs w:val="28"/>
        </w:rPr>
        <w:t>В целях оперативного реагирования на вопросы и проблемы в рамках оздоровительной кампании действует телефон «горячей линии» Республиканской межведомственной комиссии ГБУ РЦ «Лето» - (843) 293-12-91</w:t>
      </w:r>
      <w:r w:rsidR="00FD054F">
        <w:rPr>
          <w:sz w:val="28"/>
          <w:szCs w:val="28"/>
        </w:rPr>
        <w:t xml:space="preserve">. </w:t>
      </w:r>
    </w:p>
    <w:sectPr w:rsidR="00E20B92" w:rsidSect="00536E96">
      <w:headerReference w:type="even" r:id="rId9"/>
      <w:footerReference w:type="default" r:id="rId10"/>
      <w:pgSz w:w="11906" w:h="16838" w:code="9"/>
      <w:pgMar w:top="568" w:right="849" w:bottom="851" w:left="1701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2E" w:rsidRDefault="00026A2E">
      <w:r>
        <w:separator/>
      </w:r>
    </w:p>
  </w:endnote>
  <w:endnote w:type="continuationSeparator" w:id="0">
    <w:p w:rsidR="00026A2E" w:rsidRDefault="0002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2E" w:rsidRDefault="00026A2E">
      <w:r>
        <w:separator/>
      </w:r>
    </w:p>
  </w:footnote>
  <w:footnote w:type="continuationSeparator" w:id="0">
    <w:p w:rsidR="00026A2E" w:rsidRDefault="0002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C623D"/>
    <w:multiLevelType w:val="hybridMultilevel"/>
    <w:tmpl w:val="041AC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2546A"/>
    <w:multiLevelType w:val="hybridMultilevel"/>
    <w:tmpl w:val="80FA5E5E"/>
    <w:lvl w:ilvl="0" w:tplc="278A3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E3B2D"/>
    <w:multiLevelType w:val="hybridMultilevel"/>
    <w:tmpl w:val="1B50288C"/>
    <w:lvl w:ilvl="0" w:tplc="E8663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833C4F"/>
    <w:multiLevelType w:val="hybridMultilevel"/>
    <w:tmpl w:val="A71C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E2E42"/>
    <w:multiLevelType w:val="hybridMultilevel"/>
    <w:tmpl w:val="9C26C8F2"/>
    <w:lvl w:ilvl="0" w:tplc="6C1044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26A2E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467B"/>
    <w:rsid w:val="00095CCE"/>
    <w:rsid w:val="00097013"/>
    <w:rsid w:val="000A0768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09BE"/>
    <w:rsid w:val="0011272F"/>
    <w:rsid w:val="001134D1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C6D8C"/>
    <w:rsid w:val="001D598C"/>
    <w:rsid w:val="001D60D8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A2669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36E96"/>
    <w:rsid w:val="00540D9E"/>
    <w:rsid w:val="005458EF"/>
    <w:rsid w:val="005464CC"/>
    <w:rsid w:val="0054676A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58F9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2697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4176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752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46B9"/>
    <w:rsid w:val="00BB22DD"/>
    <w:rsid w:val="00BB452B"/>
    <w:rsid w:val="00BB7711"/>
    <w:rsid w:val="00BC1E4C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536DD"/>
    <w:rsid w:val="00C60E4B"/>
    <w:rsid w:val="00C63EE6"/>
    <w:rsid w:val="00C650DC"/>
    <w:rsid w:val="00C815AB"/>
    <w:rsid w:val="00C82226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26BF"/>
    <w:rsid w:val="00D055EC"/>
    <w:rsid w:val="00D11385"/>
    <w:rsid w:val="00D16E64"/>
    <w:rsid w:val="00D308B6"/>
    <w:rsid w:val="00D31458"/>
    <w:rsid w:val="00D31C3D"/>
    <w:rsid w:val="00D3338E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C028C"/>
    <w:rsid w:val="00DD114A"/>
    <w:rsid w:val="00DD623C"/>
    <w:rsid w:val="00DD7191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0B92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054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34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34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Администратор</cp:lastModifiedBy>
  <cp:revision>2</cp:revision>
  <cp:lastPrinted>2016-07-12T07:20:00Z</cp:lastPrinted>
  <dcterms:created xsi:type="dcterms:W3CDTF">2017-09-11T07:20:00Z</dcterms:created>
  <dcterms:modified xsi:type="dcterms:W3CDTF">2017-09-11T07:20:00Z</dcterms:modified>
</cp:coreProperties>
</file>