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sz w:val="6"/>
        </w:rPr>
      </w:pPr>
    </w:p>
    <w:p>
      <w:pPr>
        <w:pStyle w:val="style0"/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>
        <w:trPr/>
        <w:tc>
          <w:tcPr>
            <w:tcW w:w="4536" w:type="dxa"/>
            <w:gridSpan w:val="2"/>
            <w:tcBorders/>
            <w:tcFitText w:val="false"/>
            <w:vAlign w:val="center"/>
          </w:tcPr>
          <w:p>
            <w:pPr>
              <w:pStyle w:val="style0"/>
              <w:spacing w:lineRule="exact" w:line="300"/>
              <w:ind w:right="35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>СПОРТА</w:t>
            </w:r>
            <w:r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tcBorders/>
            <w:tcFitText w:val="false"/>
            <w:vAlign w:val="center"/>
          </w:tcPr>
          <w:p>
            <w:pPr>
              <w:pStyle w:val="style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false" relativeHeight="2" behindDoc="false" locked="false" layoutInCell="true" allowOverlap="true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1026" name="Image1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true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70" w:type="dxa"/>
            <w:gridSpan w:val="2"/>
            <w:tcBorders/>
            <w:tcFitText w:val="false"/>
            <w:vAlign w:val="center"/>
          </w:tcPr>
          <w:p>
            <w:pPr>
              <w:pStyle w:val="style0"/>
              <w:spacing w:lineRule="exact" w:line="300"/>
              <w:ind w:left="317"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 РЕСПУБЛИКАСЫ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style0"/>
              <w:spacing w:lineRule="exact" w:line="300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ИНИСТРЛЫГЫ</w:t>
            </w:r>
          </w:p>
        </w:tc>
      </w:tr>
      <w:tr>
        <w:tblPrEx/>
        <w:trPr/>
        <w:tc>
          <w:tcPr>
            <w:tcW w:w="4536" w:type="dxa"/>
            <w:gridSpan w:val="2"/>
            <w:tcBorders/>
            <w:tcFitText w:val="false"/>
          </w:tcPr>
          <w:p>
            <w:pPr>
              <w:pStyle w:val="style0"/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  <w:tcBorders/>
            <w:tcFitText w:val="false"/>
          </w:tcPr>
          <w:p>
            <w:pPr>
              <w:pStyle w:val="style0"/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  <w:tcBorders/>
            <w:tcFitText w:val="false"/>
          </w:tcPr>
          <w:p>
            <w:pPr>
              <w:pStyle w:val="style0"/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>
        <w:tblPrEx/>
        <w:trPr/>
        <w:tc>
          <w:tcPr>
            <w:tcW w:w="4536" w:type="dxa"/>
            <w:gridSpan w:val="2"/>
            <w:tcBorders/>
            <w:tcFitText w:val="false"/>
            <w:vAlign w:val="center"/>
          </w:tcPr>
          <w:p>
            <w:pPr>
              <w:pStyle w:val="style0"/>
              <w:spacing w:lineRule="exact" w:line="220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>
              <w:rPr>
                <w:spacing w:val="-6"/>
                <w:sz w:val="20"/>
                <w:szCs w:val="20"/>
              </w:rPr>
              <w:t xml:space="preserve">12, </w:t>
            </w:r>
          </w:p>
          <w:p>
            <w:pPr>
              <w:pStyle w:val="style0"/>
              <w:spacing w:lineRule="exact" w:line="220"/>
              <w:ind w:left="-100" w:right="492"/>
              <w:jc w:val="center"/>
              <w:rPr>
                <w:noProof/>
              </w:rPr>
            </w:pPr>
            <w:r>
              <w:rPr>
                <w:spacing w:val="-6"/>
                <w:sz w:val="20"/>
                <w:szCs w:val="20"/>
                <w:lang w:val="tt-RU"/>
              </w:rPr>
              <w:t>г</w:t>
            </w:r>
            <w:r>
              <w:rPr>
                <w:spacing w:val="-6"/>
                <w:sz w:val="20"/>
                <w:szCs w:val="20"/>
              </w:rPr>
              <w:t>.</w:t>
            </w:r>
            <w:r>
              <w:rPr>
                <w:spacing w:val="-6"/>
                <w:sz w:val="20"/>
                <w:szCs w:val="20"/>
                <w:lang w:val="tt-RU"/>
              </w:rPr>
              <w:t>Казан</w:t>
            </w:r>
            <w:r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tcBorders/>
            <w:tcFitText w:val="false"/>
            <w:vAlign w:val="center"/>
          </w:tcPr>
          <w:p>
            <w:pPr>
              <w:pStyle w:val="style0"/>
              <w:spacing w:lineRule="exact" w:line="22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/>
            <w:tcFitText w:val="false"/>
            <w:vAlign w:val="center"/>
          </w:tcPr>
          <w:p>
            <w:pPr>
              <w:pStyle w:val="style0"/>
              <w:spacing w:lineRule="exact" w:line="220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>
              <w:rPr>
                <w:spacing w:val="-6"/>
                <w:sz w:val="20"/>
                <w:szCs w:val="20"/>
              </w:rPr>
              <w:t xml:space="preserve">, 12 нче йорт, </w:t>
            </w:r>
          </w:p>
          <w:p>
            <w:pPr>
              <w:pStyle w:val="style0"/>
              <w:spacing w:lineRule="exact" w:line="220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spacing w:val="-6"/>
                <w:sz w:val="20"/>
                <w:szCs w:val="20"/>
                <w:lang w:val="tt-RU"/>
              </w:rPr>
              <w:t>Казан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  <w:lang w:val="tt-RU"/>
              </w:rPr>
              <w:t>шәһәре</w:t>
            </w:r>
            <w:r>
              <w:rPr>
                <w:spacing w:val="-6"/>
                <w:sz w:val="20"/>
                <w:szCs w:val="20"/>
              </w:rPr>
              <w:t>, 420107</w:t>
            </w:r>
          </w:p>
        </w:tc>
      </w:tr>
      <w:tr>
        <w:tblPrEx/>
        <w:trPr>
          <w:trHeight w:val="431" w:hRule="atLeast"/>
        </w:trPr>
        <w:tc>
          <w:tcPr>
            <w:tcW w:w="4928" w:type="dxa"/>
            <w:gridSpan w:val="4"/>
            <w:tcBorders/>
            <w:tcFitText w:val="false"/>
          </w:tcPr>
          <w:p>
            <w:pPr>
              <w:pStyle w:val="style0"/>
              <w:spacing w:lineRule="exact" w:line="220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  <w:tcBorders/>
            <w:tcFitText w:val="false"/>
          </w:tcPr>
          <w:p>
            <w:pPr>
              <w:pStyle w:val="style0"/>
              <w:spacing w:lineRule="exact" w:line="220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>
        <w:tblPrEx/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  <w:tcBorders/>
            <w:tcFitText w:val="false"/>
          </w:tcPr>
          <w:p>
            <w:pPr>
              <w:pStyle w:val="style0"/>
              <w:spacing w:lineRule="exact" w:line="220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(843) 222-81-01, </w:t>
            </w:r>
            <w:r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r>
              <w:rPr>
                <w:sz w:val="20"/>
                <w:szCs w:val="20"/>
                <w:lang w:val="en-US"/>
              </w:rPr>
              <w:t>mdmst</w:t>
            </w:r>
            <w:r>
              <w:rPr>
                <w:sz w:val="20"/>
                <w:szCs w:val="20"/>
                <w:lang w:val="en-US"/>
              </w:rPr>
              <w:t>@</w:t>
            </w:r>
            <w:r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http://</w:t>
            </w: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  <w:lang w:val="en-US"/>
              </w:rPr>
              <w:t>insport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>
        <w:tblPrEx/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  <w:tcFitText w:val="false"/>
          </w:tcPr>
          <w:p>
            <w:pPr>
              <w:pStyle w:val="style0"/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  <w:tcFitText w:val="false"/>
          </w:tcPr>
          <w:p>
            <w:pPr>
              <w:pStyle w:val="style0"/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>
        <w:tblPrEx/>
        <w:trPr>
          <w:gridAfter w:val="5"/>
          <w:wAfter w:w="5103" w:type="dxa"/>
        </w:trPr>
        <w:tc>
          <w:tcPr>
            <w:tcW w:w="4720" w:type="dxa"/>
            <w:gridSpan w:val="3"/>
            <w:tcBorders/>
            <w:tcFitText w:val="false"/>
          </w:tcPr>
          <w:p>
            <w:pPr>
              <w:pStyle w:val="style0"/>
              <w:ind w:left="-8" w:right="-110"/>
              <w:jc w:val="center"/>
              <w:rPr/>
            </w:pPr>
          </w:p>
        </w:tc>
      </w:tr>
      <w:tr>
        <w:tblPrEx/>
        <w:trPr>
          <w:gridAfter w:val="5"/>
          <w:wAfter w:w="5103" w:type="dxa"/>
          <w:trHeight w:val="332" w:hRule="atLeast"/>
        </w:trPr>
        <w:tc>
          <w:tcPr>
            <w:tcW w:w="4720" w:type="dxa"/>
            <w:gridSpan w:val="3"/>
            <w:tcBorders/>
            <w:tcFitText w:val="false"/>
          </w:tcPr>
          <w:p>
            <w:pPr>
              <w:pStyle w:val="style0"/>
              <w:ind w:left="-8" w:right="-110"/>
              <w:jc w:val="center"/>
              <w:rPr/>
            </w:pPr>
          </w:p>
        </w:tc>
      </w:tr>
    </w:tbl>
    <w:p>
      <w:pPr>
        <w:pStyle w:val="style0"/>
        <w:ind w:right="-1"/>
        <w:jc w:val="center"/>
        <w:rPr>
          <w:b/>
        </w:rPr>
      </w:pPr>
      <w:r>
        <w:rPr>
          <w:b/>
        </w:rPr>
        <w:t>ПРЕСС-РЕЛИЗ</w:t>
      </w:r>
    </w:p>
    <w:p>
      <w:pPr>
        <w:pStyle w:val="style0"/>
        <w:ind w:right="-1"/>
        <w:jc w:val="center"/>
        <w:rPr>
          <w:b/>
        </w:rPr>
      </w:pPr>
      <w:r>
        <w:rPr>
          <w:b/>
        </w:rPr>
        <w:t xml:space="preserve">к </w:t>
      </w:r>
      <w:r>
        <w:rPr>
          <w:b/>
        </w:rPr>
        <w:t xml:space="preserve">брифингу </w:t>
      </w:r>
      <w:r>
        <w:rPr>
          <w:b/>
        </w:rPr>
        <w:t xml:space="preserve">«Об итогах программы строительства объектов </w:t>
      </w:r>
    </w:p>
    <w:p>
      <w:pPr>
        <w:pStyle w:val="style0"/>
        <w:ind w:right="-1"/>
        <w:jc w:val="center"/>
        <w:rPr>
          <w:b/>
        </w:rPr>
      </w:pPr>
      <w:r>
        <w:rPr>
          <w:b/>
        </w:rPr>
        <w:t>спортивной инфраструктуры в Республике Татарстан в 2018 году»</w:t>
      </w:r>
    </w:p>
    <w:p>
      <w:pPr>
        <w:pStyle w:val="style0"/>
        <w:ind w:right="-1"/>
        <w:jc w:val="center"/>
        <w:rPr>
          <w:b/>
        </w:rPr>
      </w:pPr>
    </w:p>
    <w:p>
      <w:pPr>
        <w:pStyle w:val="style0"/>
        <w:ind w:right="-1"/>
        <w:jc w:val="center"/>
        <w:rPr>
          <w:b/>
        </w:rPr>
      </w:pPr>
    </w:p>
    <w:p>
      <w:pPr>
        <w:pStyle w:val="style0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Республике Татарстан уделяется большое внимание строительству спортивных объектов, как крупных, так и плоскостных (в основном это открытые универсальные спортивные площадки). Единая пропускная способность всех функционирующих спортивных сооружений на 2018 год составляет 66,46%. Фактическая загруженность всех сооружений составляет 97,2%. В утренние и дневные часы на территории спортивных объектов проводится учебно-тренировочный процесс учеников детско-юношеских спортивных школ. В вечернее время занимаются льготные группы населения.</w:t>
      </w:r>
    </w:p>
    <w:p>
      <w:pPr>
        <w:pStyle w:val="style0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спортивная инфраструктура, сформировавшаяся в республике – одна из лучших в России. Количество спортивных объектов </w:t>
      </w:r>
      <w:r>
        <w:rPr>
          <w:sz w:val="28"/>
          <w:szCs w:val="28"/>
        </w:rPr>
        <w:t>стремится к отметке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тысяч, в каждом муниципальном образовании построены плавательные бассейны, ледовые дворцы, спортивные центры, универсальные спортивные площадки, началось активное строительство </w:t>
      </w:r>
      <w:r>
        <w:rPr>
          <w:sz w:val="28"/>
          <w:szCs w:val="28"/>
        </w:rPr>
        <w:t xml:space="preserve">и внедрение </w:t>
      </w:r>
      <w:r>
        <w:rPr>
          <w:sz w:val="28"/>
          <w:szCs w:val="28"/>
        </w:rPr>
        <w:t>модульных лыжных баз.</w:t>
      </w:r>
    </w:p>
    <w:p>
      <w:pPr>
        <w:pStyle w:val="style0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федеральной целевой</w:t>
      </w:r>
      <w:r>
        <w:rPr>
          <w:sz w:val="28"/>
          <w:szCs w:val="28"/>
        </w:rPr>
        <w:t xml:space="preserve"> программы «Развитие физической культуры и спорта в Российской Федерации на 2016-2020 годы» с привлечением средств федерального бюджета в 2018 году началось устройство футбольного поля с искусственным покрытием на стадионе «Локомотив» (пос.Юдино, г.Казани), а также стартовало строительство открытого катка с тентовым навесом в с.Старое Дрожжаное Дрожжановского муниципального района. Учитывая особенности строения данных объектов, их сдача планируется в конце 2017 – начале 2018 года.</w:t>
      </w:r>
    </w:p>
    <w:p>
      <w:pPr>
        <w:pStyle w:val="style0"/>
        <w:spacing w:lineRule="auto" w:line="360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соответствии в решением </w:t>
      </w:r>
      <w:r>
        <w:rPr>
          <w:sz w:val="28"/>
        </w:rPr>
        <w:t xml:space="preserve">Президента РТ Р.Н.Минниханова </w:t>
      </w:r>
      <w:r>
        <w:rPr>
          <w:sz w:val="28"/>
        </w:rPr>
        <w:t>в республике реализуется программа строительства крытых плавательных бассейнов и универсальных спортивных залов.</w:t>
      </w:r>
      <w:r>
        <w:rPr>
          <w:sz w:val="28"/>
        </w:rPr>
        <w:t xml:space="preserve"> На текущий момент по итогам 2018 года </w:t>
      </w:r>
      <w:r>
        <w:rPr>
          <w:sz w:val="28"/>
        </w:rPr>
        <w:t>завершено строительство и введены в эксплутацию</w:t>
      </w:r>
      <w:r>
        <w:rPr>
          <w:sz w:val="28"/>
        </w:rPr>
        <w:t xml:space="preserve"> 8 </w:t>
      </w:r>
      <w:r>
        <w:rPr>
          <w:sz w:val="28"/>
        </w:rPr>
        <w:t>крытых плавательных бассейнов</w:t>
      </w:r>
      <w:r>
        <w:rPr>
          <w:sz w:val="28"/>
        </w:rPr>
        <w:t xml:space="preserve"> в Апастовском, Верхнеуслонском, Пестречинском</w:t>
      </w:r>
      <w:r>
        <w:rPr>
          <w:sz w:val="28"/>
        </w:rPr>
        <w:t>, Нижнекамском, Мамадышском, Тукаевском</w:t>
      </w:r>
      <w:r>
        <w:rPr>
          <w:sz w:val="28"/>
        </w:rPr>
        <w:t xml:space="preserve">, </w:t>
      </w:r>
      <w:r>
        <w:rPr>
          <w:sz w:val="28"/>
        </w:rPr>
        <w:t>Тюлячинском</w:t>
      </w:r>
      <w:r>
        <w:rPr>
          <w:sz w:val="28"/>
        </w:rPr>
        <w:t xml:space="preserve"> и </w:t>
      </w:r>
      <w:r>
        <w:rPr>
          <w:sz w:val="28"/>
        </w:rPr>
        <w:t>Атнинском</w:t>
      </w:r>
      <w:r>
        <w:rPr>
          <w:sz w:val="28"/>
        </w:rPr>
        <w:t xml:space="preserve"> </w:t>
      </w:r>
      <w:r>
        <w:rPr>
          <w:sz w:val="28"/>
        </w:rPr>
        <w:t xml:space="preserve">муниципальных районах. </w:t>
      </w:r>
      <w:r>
        <w:rPr>
          <w:sz w:val="28"/>
        </w:rPr>
        <w:t>В рамках этой же программы в 2018 году уже построены и введены в эксплуатацию 4 из 5 запланированных универсальных спортивных залов в Апастовском, Дрожжановском, Лаишевском и Черемшанском муниципальных районах. Продолжается строительство объекта в Алексеевском муниципальном районе.</w:t>
      </w:r>
    </w:p>
    <w:p>
      <w:pPr>
        <w:pStyle w:val="style0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поддержке Президента Республики Татарстан Р.Н.Минниханова с 2013 года начался масштабный проект по строительству универсальных спортивных площадок в городах и населенных пунктах муниципальных образований Республики Татарстан.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Всего с 2013 по 2017 годы построена 791 спортивная площадка во всех 45 муниципальных образованиях Республики Татарстан. В 2017 году построено 120 универсальных спортивных площадок, в том числе 20 хоккейных коробок.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2018 году построено 96 универсальных площадок в 45 муниципальных образованиях Республики Татарстан.</w:t>
      </w:r>
    </w:p>
    <w:p>
      <w:pPr>
        <w:pStyle w:val="style0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программа по строительству универсальных спортивных площадок была дополнена проектами строительства хоккейных коробок, а также блочными модульными лыжными базами. В 2018 году построено 96 универсальных площадок в 45 муниципальных образованиях Республики Татарстан.</w:t>
      </w:r>
    </w:p>
    <w:p>
      <w:pPr>
        <w:pStyle w:val="style0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троительство блочных модульных лыжных баз с мебелью, инвентарем и оборудованием было включено в </w:t>
      </w:r>
      <w:bookmarkStart w:id="0" w:name="_GoBack"/>
      <w:r>
        <w:rPr>
          <w:sz w:val="28"/>
          <w:szCs w:val="28"/>
        </w:rPr>
        <w:t>программу строительства универсальных спортивных площадок с 2017 года на основании проводимого Министерством анализа потребности в строительстве подобных баз.</w:t>
      </w:r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2017 году построено и введено в эксплуатацию 11 лыжных баз, в 2018 году на данный момент достроено 6 объектов, а до старта лыжного сезона будет открыто еще 10 таких площадок. В их числе – 2 лыжные базы на территории КФУ в Зеленодольском и Елабужском муниципальных районах на территории, закрепленной за университетом, построенные в 2018 году в соответствии с поручением Президента РТ.</w:t>
      </w:r>
    </w:p>
    <w:p>
      <w:pPr>
        <w:pStyle w:val="style0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обращениями муниципальных образований и рекомендациями Федерации лыжных гонок и биатлона Республики Татарстан в 2019 году планируется продолжить реализацию программы – сейчас ведется работа по определению муниципалитетов, которые попадут в программу на следующий год. </w:t>
      </w:r>
    </w:p>
    <w:sectPr>
      <w:pgSz w:w="11906" w:h="16838" w:orient="portrait" w:code="9"/>
      <w:pgMar w:top="568" w:right="567" w:bottom="851" w:left="1134" w:header="709" w:footer="10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cumentProtection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pPr>
      <w:tabs>
        <w:tab w:val="center" w:leader="none" w:pos="4677"/>
        <w:tab w:val="right" w:leader="none" w:pos="9355"/>
      </w:tabs>
    </w:pPr>
    <w:rPr/>
  </w:style>
  <w:style w:type="paragraph" w:styleId="style32">
    <w:name w:val="footer"/>
    <w:basedOn w:val="style0"/>
    <w:next w:val="style32"/>
    <w:pPr>
      <w:tabs>
        <w:tab w:val="center" w:leader="none" w:pos="4677"/>
        <w:tab w:val="right" w:leader="none" w:pos="9355"/>
      </w:tabs>
    </w:pPr>
    <w:rPr/>
  </w:style>
  <w:style w:type="table" w:styleId="style154">
    <w:name w:val="Table Grid"/>
    <w:basedOn w:val="style105"/>
    <w:next w:val="style154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next w:val="style85"/>
    <w:rPr>
      <w:color w:val="0000ff"/>
      <w:u w:val="single"/>
    </w:rPr>
  </w:style>
  <w:style w:type="paragraph" w:styleId="style153">
    <w:name w:val="Balloon Text"/>
    <w:basedOn w:val="style0"/>
    <w:next w:val="style153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0</TotalTime>
  <Words>530</Words>
  <Characters>3749</Characters>
  <Application>WPS Office</Application>
  <DocSecurity>0</DocSecurity>
  <Paragraphs>42</Paragraphs>
  <ScaleCrop>false</ScaleCrop>
  <Company>МДМС РТ</Company>
  <LinksUpToDate>false</LinksUpToDate>
  <CharactersWithSpaces>4269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2018-10-23T06:01:35Z</dcterms:created>
  <dc:creator>User</dc:creator>
  <lastModifiedBy>Redmi Note 4</lastModifiedBy>
  <lastPrinted>2018-05-24T14:18:00Z</lastPrinted>
  <dcterms:modified xsi:type="dcterms:W3CDTF">2018-10-23T06:01:35Z</dcterms:modified>
  <revision>2</revision>
  <dc:title>МИНИСТЕРСТВО ПО ДЕЛАМ МОЛОДЕЖИ, СПОРТУ И ТУРИЗМУ</dc:title>
</coreProperties>
</file>