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C448D9">
      <w:pPr>
        <w:framePr w:w="4485" w:h="1771" w:wrap="around" w:vAnchor="text" w:hAnchor="page" w:x="631" w:y="37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1F5A18" w:rsidRDefault="001F5A18" w:rsidP="001F5A1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1F5A18" w:rsidRDefault="001F5A18" w:rsidP="001F5A18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F5A18" w:rsidRPr="00BE5D1E" w:rsidRDefault="00BE3C16" w:rsidP="00BE5D1E">
      <w:pPr>
        <w:jc w:val="center"/>
        <w:rPr>
          <w:b/>
        </w:rPr>
      </w:pPr>
      <w:r w:rsidRPr="00BE5D1E">
        <w:rPr>
          <w:rFonts w:ascii="Times New Roman" w:hAnsi="Times New Roman"/>
          <w:b/>
          <w:sz w:val="28"/>
          <w:szCs w:val="28"/>
        </w:rPr>
        <w:t>О системе выявления новых документов к 100-летию ТАССР</w:t>
      </w:r>
    </w:p>
    <w:p w:rsidR="00BE3C16" w:rsidRDefault="001F5A18" w:rsidP="00BE3C1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BE3C16" w:rsidRDefault="00BE3C16" w:rsidP="00BE3C1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21E1" w:rsidRDefault="004900B3" w:rsidP="00F621E1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 августа в 10.00 в Кабинете М</w:t>
      </w:r>
      <w:r w:rsidR="00F621E1">
        <w:rPr>
          <w:rFonts w:ascii="Times New Roman" w:eastAsiaTheme="minorHAnsi" w:hAnsi="Times New Roman"/>
          <w:sz w:val="28"/>
          <w:szCs w:val="28"/>
          <w:lang w:eastAsia="en-US"/>
        </w:rPr>
        <w:t xml:space="preserve">инистров Республики Татарстан состоится брифинг председателя Государственного комитета Республики Татарстан по архивному делу Гульнары </w:t>
      </w:r>
      <w:proofErr w:type="spellStart"/>
      <w:r w:rsidR="00F621E1">
        <w:rPr>
          <w:rFonts w:ascii="Times New Roman" w:eastAsiaTheme="minorHAnsi" w:hAnsi="Times New Roman"/>
          <w:sz w:val="28"/>
          <w:szCs w:val="28"/>
          <w:lang w:eastAsia="en-US"/>
        </w:rPr>
        <w:t>Закариевны</w:t>
      </w:r>
      <w:proofErr w:type="spellEnd"/>
      <w:r w:rsidR="00F621E1">
        <w:rPr>
          <w:rFonts w:ascii="Times New Roman" w:eastAsiaTheme="minorHAnsi" w:hAnsi="Times New Roman"/>
          <w:sz w:val="28"/>
          <w:szCs w:val="28"/>
          <w:lang w:eastAsia="en-US"/>
        </w:rPr>
        <w:t xml:space="preserve"> Габдрахмановой.</w:t>
      </w:r>
    </w:p>
    <w:p w:rsidR="00F621E1" w:rsidRDefault="00F621E1" w:rsidP="00F74487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числе спикеров так же: директор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ГБУ  «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Государственный архив Республики Татарстан»  Алмаз Ринатович </w:t>
      </w:r>
      <w:r w:rsidR="00F74487">
        <w:rPr>
          <w:rFonts w:ascii="Times New Roman" w:eastAsiaTheme="minorHAnsi" w:hAnsi="Times New Roman"/>
          <w:sz w:val="28"/>
          <w:szCs w:val="28"/>
          <w:lang w:eastAsia="en-US"/>
        </w:rPr>
        <w:t xml:space="preserve">Ибрагимов, заместитель директора ГБУ  «Государственный архив Республики Татарстан» по научным исследованиям и публикациям Ильдар Фаритович </w:t>
      </w:r>
      <w:proofErr w:type="spellStart"/>
      <w:r w:rsidR="00F74487">
        <w:rPr>
          <w:rFonts w:ascii="Times New Roman" w:eastAsiaTheme="minorHAnsi" w:hAnsi="Times New Roman"/>
          <w:sz w:val="28"/>
          <w:szCs w:val="28"/>
          <w:lang w:eastAsia="en-US"/>
        </w:rPr>
        <w:t>Шафиков</w:t>
      </w:r>
      <w:proofErr w:type="spellEnd"/>
      <w:r w:rsidR="00F74487">
        <w:rPr>
          <w:rFonts w:ascii="Times New Roman" w:eastAsiaTheme="minorHAnsi" w:hAnsi="Times New Roman"/>
          <w:sz w:val="28"/>
          <w:szCs w:val="28"/>
          <w:lang w:eastAsia="en-US"/>
        </w:rPr>
        <w:t xml:space="preserve">,  заместитель директора ГБУ  «Государственный архив Республики Татарстан» по хранению аудиовизуальных документов и обязательного экземпляра Сергей Николаевич Горохов. </w:t>
      </w:r>
    </w:p>
    <w:p w:rsidR="00BE5D1E" w:rsidRPr="00BE5D1E" w:rsidRDefault="00F621E1" w:rsidP="00F621E1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D1E" w:rsidRPr="00BE5D1E">
        <w:rPr>
          <w:rFonts w:ascii="Times New Roman" w:eastAsiaTheme="minorHAnsi" w:hAnsi="Times New Roman"/>
          <w:sz w:val="28"/>
          <w:szCs w:val="28"/>
          <w:lang w:val="tt-RU" w:eastAsia="en-US"/>
        </w:rPr>
        <w:t xml:space="preserve">Государственным комитетом Республики Татарстан по архивному делу и Государственным архивом Республики Татарстан ведется активная работа по выявлению и возвращению документов по истории Республики Татарстан и татарского народа из федеральных, региональных и из зарубежных архивов. 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>Это особенно важно в преддверии 100-летия образования Татарской АССР.</w:t>
      </w:r>
    </w:p>
    <w:p w:rsidR="00BE5D1E" w:rsidRPr="00BE5D1E" w:rsidRDefault="00B34AA8" w:rsidP="00B34AA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На сегодняшний день выявлено более 1000 архивных 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документов по нашей истории: </w:t>
      </w:r>
      <w:r w:rsid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>Декрет Совета Народных Комиссаров об учреждении Комиссариата по делам мусульман</w:t>
      </w:r>
      <w:r w:rsid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(1918 г.)</w:t>
      </w:r>
      <w:r w:rsidR="00BE5D1E">
        <w:rPr>
          <w:rFonts w:ascii="Times New Roman" w:eastAsiaTheme="minorHAnsi" w:hAnsi="Times New Roman"/>
          <w:sz w:val="28"/>
          <w:szCs w:val="28"/>
          <w:lang w:eastAsia="en-US"/>
        </w:rPr>
        <w:t>; п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>исьмо председателя Казанского губернского исполкома И. И. Ходоровского</w:t>
      </w:r>
      <w:r w:rsidR="00BE5D1E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 xml:space="preserve"> 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В. И. Ленину с просьбой принять Казанскую делегацию (имеется резолюция Ленина «</w:t>
      </w:r>
      <w:r w:rsidR="00BE5D1E" w:rsidRPr="00BE5D1E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Повидаться необходимо»</w:t>
      </w:r>
      <w:r w:rsidR="00BE5D1E">
        <w:rPr>
          <w:rFonts w:ascii="Times New Roman" w:eastAsiaTheme="minorHAnsi" w:hAnsi="Times New Roman"/>
          <w:sz w:val="28"/>
          <w:szCs w:val="28"/>
          <w:lang w:eastAsia="en-US"/>
        </w:rPr>
        <w:t>) (1920 г.); п</w:t>
      </w:r>
      <w:r w:rsidR="00BE5D1E" w:rsidRPr="00BE5D1E">
        <w:rPr>
          <w:rFonts w:ascii="Times New Roman" w:eastAsiaTheme="minorHAnsi" w:hAnsi="Times New Roman"/>
          <w:sz w:val="28"/>
          <w:szCs w:val="28"/>
          <w:lang w:eastAsia="en-US"/>
        </w:rPr>
        <w:t>остановление Совета Народных Комиссаров об ассигновании средств Народному комиссариату по национальным делам для Центрального мусульманского комиссариата на содержание комиссии по созыву Учредительного съезда</w:t>
      </w:r>
      <w:r w:rsid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другие. </w:t>
      </w:r>
    </w:p>
    <w:p w:rsidR="00BE5D1E" w:rsidRPr="00BE5D1E" w:rsidRDefault="00BE5D1E" w:rsidP="00EA4636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сотрудничества с Национальным архивом Республики Башкортостан в Государственный архив Республики Татарстан поступили копии документов, связанные с жизнью и деятельностью татарского богослова </w:t>
      </w:r>
      <w:proofErr w:type="spellStart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Шигабутдина</w:t>
      </w:r>
      <w:proofErr w:type="spell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Марджани</w:t>
      </w:r>
      <w:proofErr w:type="spell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E5D1E" w:rsidRPr="00BE5D1E" w:rsidRDefault="00BE5D1E" w:rsidP="00EA4636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ходе командировки в Тюменский и Тобол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ьский архивы, выяснилось, что там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хранятся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мусульманские</w:t>
      </w:r>
      <w:proofErr w:type="gram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метрики, но </w:t>
      </w:r>
      <w:r w:rsidR="004900B3"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специалистов, знающих арабскую графику,  большинство запросов выполнить не могу</w:t>
      </w:r>
      <w:r w:rsidR="00A17B0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bookmarkStart w:id="0" w:name="_GoBack"/>
      <w:bookmarkEnd w:id="0"/>
      <w:r w:rsidR="004900B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Аналогичная ситуация с документами на арабской графике в республике Марий Эл, Свердловской области и Пермском крае.</w:t>
      </w:r>
    </w:p>
    <w:p w:rsidR="00BE5D1E" w:rsidRPr="00BE5D1E" w:rsidRDefault="00BE5D1E" w:rsidP="00EA4636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В Тюменской области сложилась уникальная ситуация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сотрудники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госархива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обнаружили</w:t>
      </w:r>
      <w:proofErr w:type="gram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часть метрических книг татарской деревни </w:t>
      </w:r>
      <w:proofErr w:type="spellStart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Ембаевские</w:t>
      </w:r>
      <w:proofErr w:type="spell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Юрты</w:t>
      </w:r>
      <w:r w:rsidR="00EA463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хран</w:t>
      </w:r>
      <w:r w:rsidR="00EA4636">
        <w:rPr>
          <w:rFonts w:ascii="Times New Roman" w:eastAsiaTheme="minorHAnsi" w:hAnsi="Times New Roman"/>
          <w:sz w:val="28"/>
          <w:szCs w:val="28"/>
          <w:lang w:eastAsia="en-US"/>
        </w:rPr>
        <w:t xml:space="preserve">ится 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в сельском краеведческом музее. </w:t>
      </w:r>
    </w:p>
    <w:p w:rsidR="00BE5D1E" w:rsidRDefault="00BE5D1E" w:rsidP="00B34AA8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Совместно с Управлением государственных архивов при Администрации Президента Турции выявлено более 50 документов по истории Татарстана, копии некоторых из них уже переданы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госархив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д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>ля</w:t>
      </w:r>
      <w:proofErr w:type="gram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изучения и публикации. </w:t>
      </w:r>
    </w:p>
    <w:p w:rsidR="00B34AA8" w:rsidRPr="00BE5D1E" w:rsidRDefault="00B34AA8" w:rsidP="00674EB1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Сегодня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Госкомархив РТ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госархив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РТ 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ют</w:t>
      </w:r>
      <w:proofErr w:type="gramEnd"/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 над составлением справочника, в который войдет информация об архивах и документах, выявленная архивистами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</w:t>
      </w:r>
      <w:r w:rsidRPr="00BE5D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1F5A18" w:rsidRDefault="008D0170" w:rsidP="00674EB1">
      <w:pPr>
        <w:pStyle w:val="ad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1F5A18">
        <w:rPr>
          <w:sz w:val="28"/>
          <w:szCs w:val="28"/>
        </w:rPr>
        <w:t xml:space="preserve">Контактное лицо: пресс-секретарь Государственного архива РТ Альбина </w:t>
      </w:r>
      <w:proofErr w:type="spellStart"/>
      <w:r w:rsidR="001F5A18">
        <w:rPr>
          <w:sz w:val="28"/>
          <w:szCs w:val="28"/>
        </w:rPr>
        <w:t>Батыршина</w:t>
      </w:r>
      <w:proofErr w:type="spellEnd"/>
      <w:r w:rsidR="001F5A18">
        <w:rPr>
          <w:sz w:val="28"/>
          <w:szCs w:val="28"/>
        </w:rPr>
        <w:t xml:space="preserve">, 8 917 265 41 40, </w:t>
      </w:r>
      <w:r w:rsidR="006A2CA6">
        <w:rPr>
          <w:sz w:val="28"/>
          <w:szCs w:val="28"/>
        </w:rPr>
        <w:t>8 917 259 10 37</w:t>
      </w:r>
      <w:r w:rsidR="006A2CA6">
        <w:rPr>
          <w:sz w:val="28"/>
          <w:szCs w:val="28"/>
        </w:rPr>
        <w:t xml:space="preserve">, </w:t>
      </w:r>
      <w:r w:rsidR="001F5A18">
        <w:rPr>
          <w:sz w:val="28"/>
          <w:szCs w:val="28"/>
        </w:rPr>
        <w:t xml:space="preserve"> </w:t>
      </w:r>
      <w:hyperlink r:id="rId9" w:history="1">
        <w:r w:rsidR="001F5A18">
          <w:rPr>
            <w:rStyle w:val="a3"/>
            <w:sz w:val="28"/>
            <w:szCs w:val="28"/>
            <w:lang w:val="en-US"/>
          </w:rPr>
          <w:t>Albina</w:t>
        </w:r>
        <w:r w:rsidR="001F5A18">
          <w:rPr>
            <w:rStyle w:val="a3"/>
            <w:sz w:val="28"/>
            <w:szCs w:val="28"/>
          </w:rPr>
          <w:t>.</w:t>
        </w:r>
        <w:r w:rsidR="001F5A18">
          <w:rPr>
            <w:rStyle w:val="a3"/>
            <w:sz w:val="28"/>
            <w:szCs w:val="28"/>
            <w:lang w:val="en-US"/>
          </w:rPr>
          <w:t>Batyrshina</w:t>
        </w:r>
        <w:r w:rsidR="001F5A18">
          <w:rPr>
            <w:rStyle w:val="a3"/>
            <w:sz w:val="28"/>
            <w:szCs w:val="28"/>
          </w:rPr>
          <w:t>@</w:t>
        </w:r>
        <w:r w:rsidR="001F5A18">
          <w:rPr>
            <w:rStyle w:val="a3"/>
            <w:sz w:val="28"/>
            <w:szCs w:val="28"/>
            <w:lang w:val="en-US"/>
          </w:rPr>
          <w:t>tatar</w:t>
        </w:r>
        <w:r w:rsidR="001F5A18">
          <w:rPr>
            <w:rStyle w:val="a3"/>
            <w:sz w:val="28"/>
            <w:szCs w:val="28"/>
          </w:rPr>
          <w:t>.</w:t>
        </w:r>
        <w:proofErr w:type="spellStart"/>
        <w:r w:rsidR="001F5A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F5A18" w:rsidRDefault="001F5A18" w:rsidP="001F5A18"/>
    <w:p w:rsidR="005D0293" w:rsidRPr="001F5A18" w:rsidRDefault="005D0293" w:rsidP="008B7A17">
      <w:pPr>
        <w:spacing w:line="168" w:lineRule="auto"/>
        <w:rPr>
          <w:rFonts w:ascii="Times New Roman" w:hAnsi="Times New Roman"/>
          <w:sz w:val="28"/>
          <w:szCs w:val="28"/>
        </w:rPr>
      </w:pPr>
    </w:p>
    <w:sectPr w:rsidR="005D0293" w:rsidRPr="001F5A18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01" w:rsidRDefault="00143901" w:rsidP="00666F01">
      <w:r>
        <w:separator/>
      </w:r>
    </w:p>
  </w:endnote>
  <w:endnote w:type="continuationSeparator" w:id="0">
    <w:p w:rsidR="00143901" w:rsidRDefault="00143901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01" w:rsidRDefault="00143901" w:rsidP="00666F01">
      <w:r>
        <w:separator/>
      </w:r>
    </w:p>
  </w:footnote>
  <w:footnote w:type="continuationSeparator" w:id="0">
    <w:p w:rsidR="00143901" w:rsidRDefault="00143901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01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7207"/>
    <w:rsid w:val="000C1146"/>
    <w:rsid w:val="000D4105"/>
    <w:rsid w:val="00143901"/>
    <w:rsid w:val="001F5A18"/>
    <w:rsid w:val="002E03A2"/>
    <w:rsid w:val="002F13F1"/>
    <w:rsid w:val="00352FDA"/>
    <w:rsid w:val="00354373"/>
    <w:rsid w:val="00354CF7"/>
    <w:rsid w:val="003A3A3D"/>
    <w:rsid w:val="003D25B3"/>
    <w:rsid w:val="003E4EF3"/>
    <w:rsid w:val="0041636A"/>
    <w:rsid w:val="00441A4F"/>
    <w:rsid w:val="004544D5"/>
    <w:rsid w:val="004900B3"/>
    <w:rsid w:val="004B6405"/>
    <w:rsid w:val="004B7485"/>
    <w:rsid w:val="00514A28"/>
    <w:rsid w:val="00532106"/>
    <w:rsid w:val="005734CD"/>
    <w:rsid w:val="005C7D59"/>
    <w:rsid w:val="005D0293"/>
    <w:rsid w:val="0062633C"/>
    <w:rsid w:val="00666F01"/>
    <w:rsid w:val="00674EB1"/>
    <w:rsid w:val="006919CE"/>
    <w:rsid w:val="006A2CA6"/>
    <w:rsid w:val="006F011E"/>
    <w:rsid w:val="006F3E94"/>
    <w:rsid w:val="007B3213"/>
    <w:rsid w:val="007E50AB"/>
    <w:rsid w:val="007E6F8C"/>
    <w:rsid w:val="0083451E"/>
    <w:rsid w:val="00836752"/>
    <w:rsid w:val="00843E0F"/>
    <w:rsid w:val="00846BCE"/>
    <w:rsid w:val="008A1B07"/>
    <w:rsid w:val="008A2B94"/>
    <w:rsid w:val="008B7A17"/>
    <w:rsid w:val="008D0170"/>
    <w:rsid w:val="00926EAC"/>
    <w:rsid w:val="0093355D"/>
    <w:rsid w:val="009466AC"/>
    <w:rsid w:val="009826EE"/>
    <w:rsid w:val="0099192E"/>
    <w:rsid w:val="009A7C16"/>
    <w:rsid w:val="00A0676C"/>
    <w:rsid w:val="00A16D84"/>
    <w:rsid w:val="00A17B01"/>
    <w:rsid w:val="00AB51C2"/>
    <w:rsid w:val="00B233AE"/>
    <w:rsid w:val="00B34AA8"/>
    <w:rsid w:val="00BE3C16"/>
    <w:rsid w:val="00BE5D1E"/>
    <w:rsid w:val="00C3450A"/>
    <w:rsid w:val="00C3629C"/>
    <w:rsid w:val="00C448D9"/>
    <w:rsid w:val="00C5334E"/>
    <w:rsid w:val="00C75CFF"/>
    <w:rsid w:val="00C9145A"/>
    <w:rsid w:val="00CD2B98"/>
    <w:rsid w:val="00CD4437"/>
    <w:rsid w:val="00D23653"/>
    <w:rsid w:val="00D33554"/>
    <w:rsid w:val="00D40B67"/>
    <w:rsid w:val="00D50537"/>
    <w:rsid w:val="00D54510"/>
    <w:rsid w:val="00E001A4"/>
    <w:rsid w:val="00E17BD0"/>
    <w:rsid w:val="00E426BE"/>
    <w:rsid w:val="00E64CD0"/>
    <w:rsid w:val="00E95AEF"/>
    <w:rsid w:val="00EA2B00"/>
    <w:rsid w:val="00EA4636"/>
    <w:rsid w:val="00F11851"/>
    <w:rsid w:val="00F13D24"/>
    <w:rsid w:val="00F40F93"/>
    <w:rsid w:val="00F621E1"/>
    <w:rsid w:val="00F63A3A"/>
    <w:rsid w:val="00F71E52"/>
    <w:rsid w:val="00F74487"/>
    <w:rsid w:val="00F87768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46E5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1F5A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e">
    <w:name w:val="Strong"/>
    <w:basedOn w:val="a0"/>
    <w:uiPriority w:val="22"/>
    <w:qFormat/>
    <w:rsid w:val="001F5A18"/>
    <w:rPr>
      <w:b/>
      <w:bCs/>
    </w:rPr>
  </w:style>
  <w:style w:type="character" w:styleId="af">
    <w:name w:val="Emphasis"/>
    <w:basedOn w:val="a0"/>
    <w:uiPriority w:val="20"/>
    <w:qFormat/>
    <w:rsid w:val="001F5A18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BE5D1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E5D1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E5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Пользователь Windows</cp:lastModifiedBy>
  <cp:revision>27</cp:revision>
  <cp:lastPrinted>2018-07-31T11:11:00Z</cp:lastPrinted>
  <dcterms:created xsi:type="dcterms:W3CDTF">2019-08-05T10:27:00Z</dcterms:created>
  <dcterms:modified xsi:type="dcterms:W3CDTF">2019-08-05T14:27:00Z</dcterms:modified>
</cp:coreProperties>
</file>