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B2" w:rsidRPr="00F210B2" w:rsidRDefault="00F210B2" w:rsidP="00F210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Брифинг с представителями СМИ по теме «О </w:t>
      </w:r>
      <w:proofErr w:type="spellStart"/>
      <w:r w:rsidRPr="00F21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надзорно</w:t>
      </w:r>
      <w:proofErr w:type="spellEnd"/>
      <w:r w:rsidRPr="00F21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-профилактической деятельности по предупреждению гибели и травматизма людей при пожарах». Участвует заместитель начальника Главного управления МЧС России по РТ – начальник Управление надзорной деятельности и профилактической работы полковник внутренней службы Сергей Валентинович Сергеев. 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10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04.12.2018 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 «О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надзорно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>-профилактической деятельности по предупреждению</w:t>
      </w:r>
      <w:bookmarkStart w:id="0" w:name="_GoBack"/>
      <w:bookmarkEnd w:id="0"/>
      <w:r w:rsidRPr="00F210B2">
        <w:rPr>
          <w:rFonts w:ascii="Arial" w:eastAsia="Times New Roman" w:hAnsi="Arial" w:cs="Arial"/>
          <w:sz w:val="24"/>
          <w:szCs w:val="24"/>
          <w:lang w:eastAsia="ru-RU"/>
        </w:rPr>
        <w:t> гибели и травматизма людей при пожарах»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Главное управление МЧС России по Республике Татарстан обеспокоено складывающейся обстановкой с пожарами на территории республики. Так, по состоянию на 1 </w:t>
      </w:r>
      <w:proofErr w:type="gram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декабря,  зарегистрировано</w:t>
      </w:r>
      <w:proofErr w:type="gram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2836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пожаров, что на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2,1%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меньше АППГ (2017г.–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2898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), в месте с тем на пожарах погиб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131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человек, что на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 человек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больше АППГ (2017г.–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112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 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237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травмировано, что также больше АППГ на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 человек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(2017г.–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208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Рост количества пожаров зарегистрирован в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15-ти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муниципальных образованиях республики.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Для справки: в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Алькеевском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Балтасинском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Муслюмовском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Черемшанском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Апастовском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Спасском, Камско-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Устьинском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Высокогорском,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Тетюшском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Азнакаевском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Альметьевском,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Атнинском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Елабужском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Лаишевском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 Нижнекамском районах.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Рост количества погибших на пожарах людей зарегистрирован в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18-ти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муниципальных образованиях республики.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справки:в</w:t>
      </w:r>
      <w:proofErr w:type="spellEnd"/>
      <w:proofErr w:type="gram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Верхнеуслонском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(1-10), Высокогорском (2-8),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Алькеевском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(0-4), Зеленодольском (6-10), Мензелинском (1-5),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Апастовском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(1-4), Арском (0-3),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Аксубаевском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(1-3),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Кайбицком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(1-3), Рыбно-Слободском (0-2),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Бавлинском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(0-1),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Балтасинском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(0-1),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Бугульминском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(4-5),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Дрожжановском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(1-2), Камско-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Устьинском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(0-1), Менделеевском (0-1), Нижнекамском (3-4) и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Тетюшском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(0-1) муниципальных районах.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Рост количества травмированных на пожарах людей зарегистрирован в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14-ти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муниципальных образованиях республики.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Для справки: в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Агрызском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Апастовском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Балтасинском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Бугульминском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Буинском, Высокогорском, Заинском, Зеленодольском,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Лаишевском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Лениногорском, Нижнекамском, Спасском,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Чистопольском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районах и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г.Казань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Следует отметить, что одновременно рост гибели и травмированных людей на пожарах зарегистрирован в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6-ти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муниципальных образованиях республики.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Для справки: в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Апастовском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Балтасинском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Бугульминском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Высокогорском, Зеленодольском и Нижнекамском районах.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Основная доля пожаров – это 77,5% и гибель людей при пожарах – это 95,4% приходится на жилой сектор.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Всего в жилье зарегистрировано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2199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пожаров, при которых погибло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125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человек, травмировано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178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Наибольшее количество пожаров, погибших и пострадавших на них людей в жилье приходится на: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частные жилые дома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447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пожаров или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20,3%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(2017г.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476, -6,1%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),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74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погибших (2017г. – </w:t>
      </w:r>
      <w:proofErr w:type="gramStart"/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59,+</w:t>
      </w:r>
      <w:proofErr w:type="gramEnd"/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25,4%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 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45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травмированных (2017г.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37, +21,6%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многоквартирные жилые дома -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493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пожара или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22,4%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обобщего количества пожаров в жилье (2017г.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484, +1,9%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),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погибший (2017г. – </w:t>
      </w:r>
      <w:proofErr w:type="gramStart"/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28,+</w:t>
      </w:r>
      <w:proofErr w:type="gramEnd"/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10,7%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 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104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травмированных (2017г.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86, +20,9%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садовые некоммерческие товарищества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160 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пожаров (2017 – 187),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погибло (2017 – 7) 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травмировано (2017 – 8);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надворные постройки на территории домовладения -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1051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 или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47,8</w:t>
      </w:r>
      <w:proofErr w:type="gramStart"/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 (</w:t>
      </w:r>
      <w:proofErr w:type="gram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>2017г.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1011, +4%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),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погибших (2017г.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8, +25%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 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травмированных (2017г.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37, -37,8%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Другие места возникновения пожаров показаны на слайде.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 справки: транспортные средства -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159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пожаров 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203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);  неэксплуатируемые здания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68 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пожаров 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66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); здания производственного назначения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48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37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), торгового назначения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37 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34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); строящиеся и реконструируемые объекты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31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35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); здания сельскохозяйственного назначения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15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); сервисного обслуживания населения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14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19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); здания складского назначения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); административного назначения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);  объекты учебно-воспитательного назначения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(2017г. – </w:t>
      </w:r>
      <w:r w:rsidRPr="00F21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Основными причинами пожаров в 2018 году в Республике Татарстан явились: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неосторожное обращение с огнём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959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пожаров или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34%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от общего количества пожаров;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нарушение правил технической эксплуатации электрооборудования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880 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пожаров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(31%)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нарушение правил пожарной безопасности при устройстве и эксплуатации печей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575 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пожаров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поджог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160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пожаров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%);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нарушение правил устройства и эксплуатации транспортных средств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101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Основными причинами пожаров, приведших к гибели людей, явились: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неосторожное обращение с огнём - погибло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68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52%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от общего числа погибших);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нарушение правил устройства и эксплуатации электрооборудования и электробытовых приборов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46 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погибших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35,1%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- поджоги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погибших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5,3%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количество погибших людей на пожарах </w:t>
      </w:r>
      <w:proofErr w:type="gram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приходится  на</w:t>
      </w:r>
      <w:proofErr w:type="gram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пенсионеров  - погибло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54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человека или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41,2%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от общего числа погибших при пожарах и безработных -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или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19,8%.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При этом гибели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65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49,6%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от общего числа) способствовало их нахождение в алкогольном опьянении. В состоянии сна на момент гибели находились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22,1%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 и гибели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способствовали болезни и инвалидность, исключающие возможность самостоятельного передвижения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13,7%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Следует отметить, что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(6,9%)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погибли в результате неправильных действий в ходе возникновения пожара, а именно - вернулись в горящие здания и помещения.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пожаров и негативных последствий от них совместно с заинтересованными министерствами и ведомствами, а также органами местного самоуправления, проводится комплекс надзорных и профилактических мероприятий.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В каждом муниципальном районе созданы профилактические группы, в состав которых входят сотрудники нашего ведомства, работники органов социальной защиты, представители органов местного самоуправления, работники газовых служб и электросетей, которые осуществляют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подворовые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обходы, проводят сходы граждан, проверяют состояние жилищных условий, в том числе и по соблюдению требований безопасности, предъявляемым к жилым домам и надворным постройкам.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Так, с начала года посещено более 18 тыс. многоквартирных жилых домов и чуть более 400 тыс. частных домовладений, при этом основное внимание уделено местам проживания граждан, находящихся в социально опасном положении, и многодетным семьям.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Профилактическая работа проведена более чем в 24 тыс. многодетных семей, в 26 тыс. мест проживания одиноких престарелых граждан и в 6 тыс. мест проживания неблагополучных граждан, при этом отдельные семьи посещались не единожды. С начала года проведено более 4 тыс. сходов с населением с охватом около 200 тыс. человек.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на республиканском и муниципальном уровнях для отдельных категорий граждан, как правило, это одинокие престарелые, многодетные семьи и семьи, находящиеся в социально опасном положении, оказывается адресная помощь в виде ремонта отопительных печей, электрооборудования или установки автономных пожарных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которые, в свою очередь, способствуют 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своевременному обнаружению возгорания на ранней стадии его развития, оповещения о пожаре жильцов для их эвакуации из горящего дома (квартиры).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Хотел бы отметить, что при поддержке Президента Республики Татарстан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Р.Н.Минниханова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для этих целей из резерва Кабинета Министров Республики Татарстан в период с 2016 по 2018 годы были </w:t>
      </w:r>
      <w:proofErr w:type="gram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выделены  9</w:t>
      </w:r>
      <w:proofErr w:type="gram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млн. 105 тыс. рублей, что позволило в 8330 домовладениях указанной категории граждан установить более 29 тыс. автономных пожарных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Установленные автономные пожарные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уже показали свою эффективность. Так, в 15 случаях пожаров, произошедших в 2016-2018 годах в жилых домах (квартирах) благодаря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сработке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пожарных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жильцы дома были своевременно оповещены о возгорании, что спасло жизни 43 человек, в том числе 20 детей.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Имеют место случаи, когда недобросовестные граждане, представляясь нашими сотрудниками, предлагают услугу жителям по приобретению и установке автономных пожарных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по завышенной цене в 3-5 раз и таким образом наживаются на незнающих гражданах, в </w:t>
      </w:r>
      <w:proofErr w:type="gram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основном  это</w:t>
      </w:r>
      <w:proofErr w:type="gram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люди пожилого возраста. Хотел бы подчеркнуть, что установка пожарных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нашими сотрудниками осуществляется на безвозмездной основе для отдельных категорий граждан. При этом любой гражданин может самостоятельно приобрести в специализированном магазине пожарный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извещатель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и установить его в своей квартире.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Учитывая, что основной причиной пожаров и гибели людей на них является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неосторожное обращение с </w:t>
      </w:r>
      <w:proofErr w:type="gramStart"/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огнем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,  а</w:t>
      </w:r>
      <w:proofErr w:type="gram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это, как правило, курение в жилом помещении, и, что хуже всего - курение в нетрезвом виде в постели (диване, кресле), мы рекомендуем гражданам: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курить не в жилом помещении;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при курении использовать пепельницу, не стряхивать пепел на горючие материалы;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 окончании курения затушить сигарету;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не бросать сигарету в мусорное ведро и на другие горючие предметы;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курение гражданами, находящимися в недееспособном состоянии (инвалиды, люди с тяжелыми физическими и психологическими заболеваниями) должно осуществляться под контролем опекунов. 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касается электрообогревательных приборов 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– они должны быть заводского исполнения, категорически запрещается применять самодельные электроприборы.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При эксплуатации электроприбора необходимо руководствоваться инструкцией завода изготовителя.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Не использовать неисправный или истекшим сроком эксплуатации электроприбор.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Не использовать не по назначению.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эксплуатации выдерживать безопасное расстояние до сгораемых изделий (не менее 1 метра, если заводом изготовителем не установлено другое безопасное расстояние), ни в коем случае нельзя устанавливать включенные электроприборы вблизи штор, занавесей, стен, обклеенных обоями, и других сгораемых предметов.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а) эксплуатировать электропровода и кабели с видимыми нарушениями изоляции;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б) пользоваться розетками, рубильниками, другими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электроустановочными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изделиями с повреждениями;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г) пользоваться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Неправильный монтаж электропроводки также чреват бедой.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В жилых домах </w:t>
      </w:r>
      <w:proofErr w:type="gram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и  квартирах</w:t>
      </w:r>
      <w:proofErr w:type="gram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категорически запрещается использовать в электросчетчиках некалиброванные предохранители («жучки»).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перегрузка электросети, включая одновременно несколько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энергопотребителей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в одну розетку.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Не допускается применение электропроводов разного сечения, из разнородного материала, с поврежденной изоляцией, производить крепление гвоздями, прокладывать временную электропроводку, соединение выполнять «скруткой».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период эксплуатации печей необходимо очищать дымоходы от сажи не реже, чем один раз в три месяца. 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Во избежание осадки и появления трещин, печь необходимо устанавливать на самостоятельный фундамент. Чтобы вовремя заметить щели или трещины печь необходимо белить перед началом отопительного сезона.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Прежде чем топить печь нужно обязательно убедиться в ее исправности.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Печь не должна примыкать плоскостью одной из стенок к деревянным конструкциям, должна быть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отступка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260 мм. А дымовой канал должен иметь разделку со сгораемыми конструкциями не менее 380 мм.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Предтопочные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дверки должны плотно закрываться, а на сгораемом полу перед топкой должен находиться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предтопочный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лист из негорючего материала размерами 700х500 мм.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Горючие материалы должны располагаться на расстоянии не менее 0,7 м, а от топочных отверстий не менее 1,25 м.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растопки печи нельзя применять ЛВЖ и ГЖ.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Нельзя оставлять топящуюся печь без присмотра, а также поручать надзор за ними детям.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Нельзя допускать перекала печи.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эксплуатации газового оборудования не стоит забывать следующее: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При использовании газовых приборов запрещается: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а) эксплуатировать бытовые газовые приборы при утечке газа. При ощущении запаха газа в помещении дома нельзя зажигать спички, включать и выключать электрические выключатели;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б) проверять герметичность соединений с помощью источников открытого пламени, в том числе спичек, зажигалок, свечей;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в) оставлять без присмотра включенное газовое оборудование, поручать надзор за ним детям, а также сушить вещи над газовой плитой.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оставляйте детей дома одних без присмотра: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Рассказывайте детям о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пожаробезопасном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поведении, правильных действиях в случае пожара, станьте для ребенка примером правильного обращения с источниками огня.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Исключите из поля зрения ребенка такие предметы, как спички, зажигалки, свечи.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Не поручайте детям разжигать печи, газовые плиты, самостоятельно включать электробытовые приборы.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Следите за тем, чтобы дети не разжигали костер, поджигали пух и не использовали в своих играх спички, зажигалки и другие источники зажигания.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Уважаемые участники брифинга, учитывая предстоящие новогодние праздничные мероприятия, хотел бы отметить, что ежегодно обстановка с пожарами обостряется в праздничные новогодние дни, при этом в указанный период имеют место пожары с групповой гибелью людей.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Для справки: 06 января 2018 года произошел пожар в жилом доме, расположенном по адресу: Республика Татарстан,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Мензелинский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район,  поселок</w:t>
      </w:r>
      <w:proofErr w:type="gram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Совхоз им. Воровского, ул. Рабочая, унесший жизни 3-х человек, из них 2 детей. Причина пожара - нарушение правил устройства и эксплуатации электрооборудования.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Так, в период </w:t>
      </w:r>
      <w:r w:rsidRPr="00F210B2">
        <w:rPr>
          <w:rFonts w:ascii="Arial" w:eastAsia="Times New Roman" w:hAnsi="Arial" w:cs="Arial"/>
          <w:sz w:val="24"/>
          <w:szCs w:val="24"/>
          <w:u w:val="single"/>
          <w:lang w:eastAsia="ru-RU"/>
        </w:rPr>
        <w:t>с 30 декабря 2017 года по 10 января 2018 года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в республике произошло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105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пожаров (что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1%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больше чем за АППГ -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104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), на которых 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погибло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(что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на75%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больше чем за АППГ -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), травмировано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(АППГ -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Основными причинами пожаров за указанный период явились: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неосторожное обращение с огнём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32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пожара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30,48%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), погиб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14,29%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НПУиЭ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печей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32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пожара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30,48%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НПУиЭ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электрооборудования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пожара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22,86%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), погибло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человека (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42,86%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Поджог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пожаров, погиб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НПУиЭ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газового оборудования –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пожара, погибло </w:t>
      </w:r>
      <w:r w:rsidRPr="00F210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t> человека;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Новогодние праздничные мероприятия не обходятся без использования различных пиротехнических изделий, которые в канун новогодних праздников пользуются большим спросом у населения. И, как правило, не обходится без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травмирования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причине неправильного обращения с пиротехническими изделиями. Так, в новогодние праздничные дни 2017-2018 гг. на территории республики по данной причине пострадали 3 человека </w:t>
      </w: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(1 -  с ожогами, 2 - </w:t>
      </w:r>
      <w:proofErr w:type="gram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  ранами</w:t>
      </w:r>
      <w:proofErr w:type="gram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глаза и конечности):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 справки: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01 января 2018 года в г. Казани мужчина 1990 г.р. поджег петарду, </w:t>
      </w:r>
      <w:proofErr w:type="gram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которая  внезапно</w:t>
      </w:r>
      <w:proofErr w:type="gram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взорвалась в его руках. В результате чего он получил термический ожог пальцев левой кисти.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02 января 2018 года в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г.Елабуга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мужчина 1971 г.р. поджег пиротехнику и не убедившись в её полной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сработке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подошел чтобы посмотреть на результаты взрыва, в результате чего произошел </w:t>
      </w:r>
      <w:proofErr w:type="gram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повторный взрыв</w:t>
      </w:r>
      <w:proofErr w:type="gram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 он получил ушиб правого глаза тяжелой степени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гемостальм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10 января 2018 года в </w:t>
      </w:r>
      <w:proofErr w:type="spellStart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г.Елабуга</w:t>
      </w:r>
      <w:proofErr w:type="spellEnd"/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мужчина 2000 г.р.  привел одну из петард в действие, в результате чего получил ссадину левой кисти руки.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Хочу отметить, что в текущем году мы уже имеем один случай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травмирования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по причине неправильного обращения с пиротехническими изделиями. Так, 17 ноября 2018 года в г. Елабуга мальчик 12 лет пострадал от подожжённой петарды, брошенной ему подростками за шиворот. В результате чего он получил термические ожоги шеи 1-2 степени.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недопущения пожаров на объектах проведения новогодних и </w:t>
      </w:r>
      <w:proofErr w:type="gram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Рождественских праздничных мероприятий</w:t>
      </w:r>
      <w:proofErr w:type="gram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и снижения количества пожаров и негативных последствий от них в новогодние праздничные дни Главным управлением МЧС России по Республике Татарстан спланирован комплекс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надзорно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>-профилактических мероприятий.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В правительство республики внесено предложение об установлении в период с 20 декабря 2018 г. по 10 января 2018 года на территории республики особого противопожарного режима, что позволит спланировать и осуществить проверки </w:t>
      </w:r>
      <w:r w:rsidRPr="00F21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мест хранения и реализации пиротехнических изделий, а также ограничить их применение в близи объектов с массовым пребыванием людей, а также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взрыво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пожаро</w:t>
      </w:r>
      <w:proofErr w:type="spell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опасных объектов и </w:t>
      </w:r>
      <w:proofErr w:type="gramStart"/>
      <w:r w:rsidRPr="00F210B2">
        <w:rPr>
          <w:rFonts w:ascii="Arial" w:eastAsia="Times New Roman" w:hAnsi="Arial" w:cs="Arial"/>
          <w:sz w:val="24"/>
          <w:szCs w:val="24"/>
          <w:lang w:eastAsia="ru-RU"/>
        </w:rPr>
        <w:t>повысить  меру</w:t>
      </w:r>
      <w:proofErr w:type="gramEnd"/>
      <w:r w:rsidRPr="00F210B2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ответственности за нарушения требований пожарной безопасности.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 справки: Нарушение требований пожарной безопасности, совершенные в условиях особого противопожарного режима (ч.2 ст. 20.4 КоАП РФ) предусматривает наложение административного штрафа: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на граждан в размере от двух тысяч до четырех тысяч рублей;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на должностных лиц – от пятнадцати тысяч до тридцати тысяч рублей;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- на юридических лиц - от двухсот тысяч до четырехсот тысяч рублей.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В части пресечения реализации пиротехнических изделий в не соответствующих для этих целей местах, сотрудниками надзорной деятельности совместно с сотрудниками полиции предусмотрено проведение рейдов.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Руководителям муниципальных районов рекомендовано определить специальные площадки для запуска пиротехнических изделий гражданами и проинформировать об этом население.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Спланированы проверки объектов проведения новогодних праздничных мероприятий с массовым посещением детей, в настоящее время актуализируется перечень данных объектов, кроме того предполагается дежурство наших сотрудников на данных объектах. В период проверок также запланировано проведение инструктажей по мерам пожарной безопасности обслуживающего персонала объектов.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Предусмотрено проведение ночных проверок объектов социальной сферы с ночным пребыванием людей.</w:t>
      </w:r>
    </w:p>
    <w:p w:rsidR="00F210B2" w:rsidRPr="00F210B2" w:rsidRDefault="00F210B2" w:rsidP="00F21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0B2">
        <w:rPr>
          <w:rFonts w:ascii="Arial" w:eastAsia="Times New Roman" w:hAnsi="Arial" w:cs="Arial"/>
          <w:sz w:val="24"/>
          <w:szCs w:val="24"/>
          <w:lang w:eastAsia="ru-RU"/>
        </w:rPr>
        <w:t>С целью предупреждения пожаров и гибели людей на них в жилом секторе в период новогодних праздников, в каждом муниципальном районе запланировано создание и работа профилактических групп, направленная на разъяснение населению требований пожарной безопасности в быту.</w:t>
      </w:r>
    </w:p>
    <w:p w:rsidR="005545F6" w:rsidRPr="00F210B2" w:rsidRDefault="005545F6" w:rsidP="00F210B2">
      <w:pPr>
        <w:jc w:val="both"/>
        <w:rPr>
          <w:rFonts w:ascii="Arial" w:hAnsi="Arial" w:cs="Arial"/>
        </w:rPr>
      </w:pPr>
    </w:p>
    <w:sectPr w:rsidR="005545F6" w:rsidRPr="00F2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A3"/>
    <w:rsid w:val="004950A3"/>
    <w:rsid w:val="005545F6"/>
    <w:rsid w:val="00F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7E10"/>
  <w15:chartTrackingRefBased/>
  <w15:docId w15:val="{F12B4810-46F4-4956-B68B-21628857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15183</Characters>
  <Application>Microsoft Office Word</Application>
  <DocSecurity>0</DocSecurity>
  <Lines>126</Lines>
  <Paragraphs>35</Paragraphs>
  <ScaleCrop>false</ScaleCrop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Мухаметшина В.Ф.</dc:creator>
  <cp:keywords/>
  <dc:description/>
  <cp:lastModifiedBy>Мухаметшина В.Ф.</cp:lastModifiedBy>
  <cp:revision>3</cp:revision>
  <dcterms:created xsi:type="dcterms:W3CDTF">2018-12-04T07:07:00Z</dcterms:created>
  <dcterms:modified xsi:type="dcterms:W3CDTF">2018-12-04T07:07:00Z</dcterms:modified>
</cp:coreProperties>
</file>