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-707211</wp:posOffset>
            </wp:positionH>
            <wp:positionV relativeFrom="paragraph">
              <wp:posOffset>-707212</wp:posOffset>
            </wp:positionV>
            <wp:extent cx="7592266" cy="3251915"/>
            <wp:effectExtent l="0" t="0" r="889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44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4A5A01" w:rsidRDefault="004A5A01" w:rsidP="004A5A01">
      <w:pPr>
        <w:tabs>
          <w:tab w:val="left" w:pos="1039"/>
          <w:tab w:val="left" w:pos="7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20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</w:t>
      </w:r>
      <w:r w:rsidR="008366C5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8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ел,</w:t>
      </w:r>
      <w:r w:rsidRPr="00680F9E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8366C5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10 март</w:t>
      </w:r>
      <w:r w:rsidRPr="00680F9E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8366C5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143</w:t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680F9E" w:rsidRPr="00680F9E" w:rsidRDefault="008366C5" w:rsidP="00680F9E">
      <w:pPr>
        <w:ind w:right="609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Лениногорск</w:t>
      </w:r>
      <w:r w:rsidR="00680F9E" w:rsidRPr="00680F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муниципаль районында җир кишәрлекләрен бер категориядән икенче категориягә күчерү турында</w:t>
      </w:r>
    </w:p>
    <w:p w:rsidR="00680F9E" w:rsidRPr="00680F9E" w:rsidRDefault="00680F9E" w:rsidP="00680F9E">
      <w:pPr>
        <w:ind w:right="595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680F9E" w:rsidRPr="00680F9E" w:rsidRDefault="00680F9E" w:rsidP="00680F9E">
      <w:pPr>
        <w:ind w:right="595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680F9E" w:rsidRPr="00680F9E" w:rsidRDefault="00680F9E" w:rsidP="00680F9E">
      <w:pPr>
        <w:ind w:right="-1" w:firstLine="709"/>
        <w:jc w:val="both"/>
        <w:rPr>
          <w:rFonts w:ascii="Times New Roman" w:eastAsia="PMingLiU" w:hAnsi="Times New Roman" w:cs="Times New Roman"/>
          <w:sz w:val="28"/>
          <w:szCs w:val="28"/>
          <w:lang w:val="tt-RU"/>
        </w:rPr>
      </w:pPr>
      <w:r w:rsidRPr="00680F9E">
        <w:rPr>
          <w:rFonts w:ascii="Times New Roman" w:eastAsia="PMingLiU" w:hAnsi="Times New Roman" w:cs="Times New Roman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680F9E" w:rsidRPr="00680F9E" w:rsidRDefault="00680F9E" w:rsidP="00680F9E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0F9E" w:rsidRPr="00680F9E" w:rsidRDefault="00680F9E" w:rsidP="00680F9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val="tt-RU"/>
        </w:rPr>
      </w:pPr>
      <w:r w:rsidRPr="00680F9E">
        <w:rPr>
          <w:rFonts w:ascii="Times New Roman" w:hAnsi="Times New Roman"/>
          <w:b w:val="0"/>
          <w:sz w:val="28"/>
          <w:szCs w:val="28"/>
        </w:rPr>
        <w:t>1.</w:t>
      </w:r>
      <w:r w:rsidR="00013B28">
        <w:rPr>
          <w:rFonts w:ascii="Times New Roman" w:hAnsi="Times New Roman"/>
          <w:b w:val="0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>Татарстан Республикасы</w:t>
      </w:r>
      <w:r w:rsidR="00013B28">
        <w:rPr>
          <w:rFonts w:ascii="Times New Roman" w:hAnsi="Times New Roman"/>
          <w:b w:val="0"/>
          <w:sz w:val="28"/>
          <w:szCs w:val="28"/>
          <w:lang w:val="tt-RU"/>
        </w:rPr>
        <w:t>ның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 Җир һәм мөлкәт мөнәсәбәтләре министрлыгы,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«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Татойлгаз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» 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акционерлар җәмгыяте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 xml:space="preserve">нең 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Лениногорск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муниципаль районында урнашкан, </w:t>
      </w:r>
      <w:r w:rsidR="008366C5"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«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Татойлгаз</w:t>
      </w:r>
      <w:r w:rsidR="008366C5"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» 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акционерлар җәмгыяте</w:t>
      </w:r>
      <w:r w:rsidR="008366C5"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милкендә булган </w:t>
      </w:r>
      <w:r w:rsidR="008366C5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>1,5387</w:t>
      </w:r>
      <w:r w:rsidRPr="00680F9E">
        <w:rPr>
          <w:rFonts w:ascii="Times New Roman" w:hAnsi="Times New Roman"/>
          <w:b w:val="0"/>
          <w:color w:val="0D0D0D" w:themeColor="text1" w:themeTint="F2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гектар гомуми мәйданлы авыл хуҗалыгы әһәмиятендәге җир кишәрлекләрен түбәндәге кадастр саннары белән Күчемсез милекнең бердәм дәүләт реестрыннан </w:t>
      </w:r>
      <w:r w:rsidR="00013B28">
        <w:rPr>
          <w:rFonts w:ascii="Times New Roman" w:hAnsi="Times New Roman"/>
          <w:b w:val="0"/>
          <w:sz w:val="28"/>
          <w:szCs w:val="28"/>
          <w:lang w:val="tt-RU"/>
        </w:rPr>
        <w:t>күчермәләрдә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 күрсәтелгән </w:t>
      </w:r>
      <w:r w:rsidR="008366C5" w:rsidRPr="008366C5">
        <w:rPr>
          <w:rFonts w:ascii="Times New Roman" w:hAnsi="Times New Roman"/>
          <w:b w:val="0"/>
          <w:sz w:val="28"/>
          <w:szCs w:val="28"/>
          <w:lang w:val="tt-RU"/>
        </w:rPr>
        <w:t>чикләрдә файдалы казылмалар чыгару максатларында</w:t>
      </w:r>
      <w:r w:rsidR="008366C5" w:rsidRPr="00680F9E">
        <w:rPr>
          <w:rFonts w:ascii="Times New Roman" w:hAnsi="Times New Roman"/>
          <w:b w:val="0"/>
          <w:sz w:val="28"/>
          <w:szCs w:val="28"/>
          <w:lang w:val="tt-RU"/>
        </w:rPr>
        <w:t xml:space="preserve"> </w:t>
      </w:r>
      <w:r w:rsidRPr="00680F9E">
        <w:rPr>
          <w:rFonts w:ascii="Times New Roman" w:hAnsi="Times New Roman"/>
          <w:b w:val="0"/>
          <w:sz w:val="28"/>
          <w:szCs w:val="28"/>
          <w:lang w:val="tt-RU"/>
        </w:rPr>
        <w:t>сәнәгать җирләре һәм башка махсус әһәмияттәге җирләр категориясенә күчерү турындагы тәкъдимен кабул итәргә:</w:t>
      </w:r>
    </w:p>
    <w:p w:rsidR="00680F9E" w:rsidRPr="00680F9E" w:rsidRDefault="00680F9E" w:rsidP="00680F9E">
      <w:pPr>
        <w:ind w:right="2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4619"/>
      </w:tblGrid>
      <w:tr w:rsidR="00680F9E" w:rsidRPr="00680F9E" w:rsidTr="00DB079E">
        <w:trPr>
          <w:trHeight w:val="274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E" w:rsidRPr="00680F9E" w:rsidRDefault="00680F9E" w:rsidP="00DB079E">
            <w:pPr>
              <w:ind w:left="3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>Җир</w:t>
            </w:r>
            <w:proofErr w:type="spellEnd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>кишәрлегенең</w:t>
            </w:r>
            <w:proofErr w:type="spellEnd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 xml:space="preserve"> кадастр саны</w:t>
            </w:r>
            <w:r w:rsidRPr="00680F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E" w:rsidRPr="00680F9E" w:rsidRDefault="00680F9E" w:rsidP="00DB07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>Мәйданы</w:t>
            </w:r>
            <w:proofErr w:type="spellEnd"/>
            <w:r w:rsidRPr="00680F9E">
              <w:rPr>
                <w:rFonts w:ascii="Times New Roman" w:hAnsi="Times New Roman" w:cs="Times New Roman"/>
                <w:sz w:val="28"/>
                <w:szCs w:val="28"/>
              </w:rPr>
              <w:t>, гектар</w:t>
            </w:r>
            <w:r w:rsidRPr="00680F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680F9E" w:rsidRPr="00680F9E" w:rsidTr="008366C5">
        <w:trPr>
          <w:trHeight w:val="7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9E" w:rsidRPr="008366C5" w:rsidRDefault="008366C5" w:rsidP="00DB079E">
            <w:pPr>
              <w:ind w:left="15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16:25:130401:84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9E" w:rsidRPr="008366C5" w:rsidRDefault="008366C5" w:rsidP="00DB079E">
            <w:pPr>
              <w:ind w:left="20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0,5486</w:t>
            </w:r>
          </w:p>
        </w:tc>
      </w:tr>
      <w:tr w:rsidR="00680F9E" w:rsidRPr="00680F9E" w:rsidTr="00DB079E">
        <w:trPr>
          <w:trHeight w:val="7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9E" w:rsidRPr="008366C5" w:rsidRDefault="008366C5" w:rsidP="00DB079E">
            <w:pPr>
              <w:ind w:left="15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16:25:130401:85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9E" w:rsidRPr="008366C5" w:rsidRDefault="008366C5" w:rsidP="00DB079E">
            <w:pPr>
              <w:ind w:left="20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0,5501</w:t>
            </w:r>
          </w:p>
        </w:tc>
      </w:tr>
      <w:tr w:rsidR="008366C5" w:rsidRPr="00680F9E" w:rsidTr="00DB079E">
        <w:trPr>
          <w:trHeight w:val="7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5" w:rsidRDefault="008366C5" w:rsidP="00DB079E">
            <w:pPr>
              <w:ind w:left="15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16:25:130401:87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5" w:rsidRDefault="008366C5" w:rsidP="00DB079E">
            <w:pPr>
              <w:ind w:left="20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0,44</w:t>
            </w:r>
          </w:p>
        </w:tc>
      </w:tr>
      <w:tr w:rsidR="00680F9E" w:rsidRPr="00680F9E" w:rsidTr="00DB079E">
        <w:trPr>
          <w:trHeight w:val="7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E" w:rsidRPr="00680F9E" w:rsidRDefault="00680F9E" w:rsidP="00DB079E">
            <w:pPr>
              <w:ind w:left="23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80F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Барысы</w:t>
            </w:r>
            <w:proofErr w:type="spellEnd"/>
            <w:r w:rsidRPr="00680F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E" w:rsidRPr="00680F9E" w:rsidRDefault="008366C5" w:rsidP="008366C5">
            <w:pPr>
              <w:ind w:left="20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1,5387</w:t>
            </w:r>
            <w:r w:rsidR="00680F9E" w:rsidRPr="00680F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680F9E" w:rsidRPr="00680F9E" w:rsidRDefault="00680F9E" w:rsidP="00680F9E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0F9E" w:rsidRPr="00680F9E" w:rsidRDefault="00680F9E" w:rsidP="00680F9E">
      <w:pPr>
        <w:ind w:firstLine="7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680F9E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2. </w:t>
      </w:r>
      <w:r w:rsidRPr="00680F9E">
        <w:rPr>
          <w:rFonts w:ascii="Times New Roman" w:hAnsi="Times New Roman" w:cs="Times New Roman"/>
          <w:color w:val="000000"/>
          <w:sz w:val="28"/>
          <w:szCs w:val="28"/>
          <w:lang w:val="tt-RU"/>
        </w:rPr>
        <w:t>Дәүләт теркәве, кадастр һәм картография федераль хезмәтенең Татарстан Республикасы буенча идарәсенә Күчемсез мөлкәтнең бердәм дәүләт реестрына билгеләнгән тәртиптә тиешле үзгәрешләр керт</w:t>
      </w:r>
      <w:r w:rsidR="00013B28">
        <w:rPr>
          <w:rFonts w:ascii="Times New Roman" w:hAnsi="Times New Roman" w:cs="Times New Roman"/>
          <w:color w:val="000000"/>
          <w:sz w:val="28"/>
          <w:szCs w:val="28"/>
          <w:lang w:val="tt-RU"/>
        </w:rPr>
        <w:t>үне</w:t>
      </w:r>
      <w:r w:rsidRPr="00680F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тәкъдим итәргә.</w:t>
      </w:r>
    </w:p>
    <w:p w:rsidR="00976D10" w:rsidRPr="00680F9E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4"/>
        <w:rPr>
          <w:sz w:val="28"/>
          <w:szCs w:val="28"/>
          <w:lang w:val="tt-RU"/>
        </w:rPr>
      </w:pPr>
    </w:p>
    <w:p w:rsidR="005B14EF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517786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CF2ADA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786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1778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F2AD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F6" w:rsidRDefault="00E16DF6" w:rsidP="004A5A01">
      <w:r>
        <w:separator/>
      </w:r>
    </w:p>
  </w:endnote>
  <w:endnote w:type="continuationSeparator" w:id="0">
    <w:p w:rsidR="00E16DF6" w:rsidRDefault="00E16DF6" w:rsidP="004A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F6" w:rsidRDefault="00E16DF6" w:rsidP="004A5A01">
      <w:r>
        <w:separator/>
      </w:r>
    </w:p>
  </w:footnote>
  <w:footnote w:type="continuationSeparator" w:id="0">
    <w:p w:rsidR="00E16DF6" w:rsidRDefault="00E16DF6" w:rsidP="004A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6403"/>
      <w:docPartObj>
        <w:docPartGallery w:val="Page Numbers (Top of Page)"/>
        <w:docPartUnique/>
      </w:docPartObj>
    </w:sdtPr>
    <w:sdtEndPr/>
    <w:sdtContent>
      <w:p w:rsidR="004A5A01" w:rsidRDefault="004A5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FD">
          <w:rPr>
            <w:noProof/>
          </w:rPr>
          <w:t>1</w:t>
        </w:r>
        <w:r>
          <w:fldChar w:fldCharType="end"/>
        </w:r>
      </w:p>
    </w:sdtContent>
  </w:sdt>
  <w:p w:rsidR="004A5A01" w:rsidRDefault="004A5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D08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13B28"/>
    <w:rsid w:val="00084F17"/>
    <w:rsid w:val="00094F7E"/>
    <w:rsid w:val="004A5A01"/>
    <w:rsid w:val="005B14EF"/>
    <w:rsid w:val="00680F9E"/>
    <w:rsid w:val="007F5B10"/>
    <w:rsid w:val="008366C5"/>
    <w:rsid w:val="00917B38"/>
    <w:rsid w:val="00976D10"/>
    <w:rsid w:val="00A546B4"/>
    <w:rsid w:val="00BC04FD"/>
    <w:rsid w:val="00CF2ADA"/>
    <w:rsid w:val="00D41472"/>
    <w:rsid w:val="00E16DF6"/>
    <w:rsid w:val="00EA2C93"/>
    <w:rsid w:val="00EE282A"/>
    <w:rsid w:val="00EF1300"/>
    <w:rsid w:val="00F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80F9E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80F9E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3</cp:revision>
  <cp:lastPrinted>2018-03-14T12:20:00Z</cp:lastPrinted>
  <dcterms:created xsi:type="dcterms:W3CDTF">2018-03-14T12:20:00Z</dcterms:created>
  <dcterms:modified xsi:type="dcterms:W3CDTF">2018-03-14T12:20:00Z</dcterms:modified>
</cp:coreProperties>
</file>